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6EE" w:rsidRDefault="000C76E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C76EE" w:rsidRDefault="000C76EE">
      <w:pPr>
        <w:pStyle w:val="ConsPlusNormal"/>
      </w:pPr>
    </w:p>
    <w:p w:rsidR="000C76EE" w:rsidRDefault="000C76EE">
      <w:pPr>
        <w:pStyle w:val="ConsPlusTitle"/>
        <w:jc w:val="center"/>
      </w:pPr>
      <w:r>
        <w:t>УПРАВЛЕНИЕ ГОСУДАРСТВЕННОГО РЕГУЛИРОВАНИЯ ЦЕН И ТАРИФОВ</w:t>
      </w:r>
    </w:p>
    <w:p w:rsidR="000C76EE" w:rsidRDefault="000C76EE">
      <w:pPr>
        <w:pStyle w:val="ConsPlusTitle"/>
        <w:jc w:val="center"/>
      </w:pPr>
      <w:r>
        <w:t>АМУРСКОЙ ОБЛАСТИ</w:t>
      </w:r>
    </w:p>
    <w:p w:rsidR="000C76EE" w:rsidRDefault="000C76EE">
      <w:pPr>
        <w:pStyle w:val="ConsPlusTitle"/>
        <w:jc w:val="center"/>
      </w:pPr>
    </w:p>
    <w:p w:rsidR="000C76EE" w:rsidRDefault="000C76EE">
      <w:pPr>
        <w:pStyle w:val="ConsPlusTitle"/>
        <w:jc w:val="center"/>
      </w:pPr>
      <w:r>
        <w:t>ПРИКАЗ</w:t>
      </w:r>
    </w:p>
    <w:p w:rsidR="000C76EE" w:rsidRDefault="000C76EE">
      <w:pPr>
        <w:pStyle w:val="ConsPlusTitle"/>
        <w:jc w:val="center"/>
      </w:pPr>
      <w:r>
        <w:t>от 29 декабря 2015 г. N 234-пр/э</w:t>
      </w:r>
    </w:p>
    <w:p w:rsidR="000C76EE" w:rsidRDefault="000C76EE">
      <w:pPr>
        <w:pStyle w:val="ConsPlusTitle"/>
        <w:jc w:val="center"/>
      </w:pPr>
    </w:p>
    <w:p w:rsidR="000C76EE" w:rsidRDefault="000C76EE">
      <w:pPr>
        <w:pStyle w:val="ConsPlusTitle"/>
        <w:jc w:val="center"/>
      </w:pPr>
      <w:r>
        <w:t>ОБ УСТАНОВЛЕНИИ ТАРИФОВ НА ЭЛЕКТРИЧЕСКУЮ ЭНЕРГИЮ</w:t>
      </w:r>
    </w:p>
    <w:p w:rsidR="000C76EE" w:rsidRDefault="000C76EE">
      <w:pPr>
        <w:pStyle w:val="ConsPlusTitle"/>
        <w:jc w:val="center"/>
      </w:pPr>
      <w:r>
        <w:t>(МОЩНОСТЬ), ОТПУСКАЕМУЮ ЭНЕРГОСБЫТОВОЙ ОРГАНИЗАЦИЕЙ</w:t>
      </w:r>
    </w:p>
    <w:p w:rsidR="000C76EE" w:rsidRDefault="000C76EE">
      <w:pPr>
        <w:pStyle w:val="ConsPlusTitle"/>
        <w:jc w:val="center"/>
      </w:pPr>
      <w:r>
        <w:t>ООО "РУСЭНЕРГОРЕСУРС" ЭНЕРГОСБЫТОВОЙ ОРГАНИЗАЦИИ</w:t>
      </w:r>
    </w:p>
    <w:p w:rsidR="000C76EE" w:rsidRDefault="000C76EE">
      <w:pPr>
        <w:pStyle w:val="ConsPlusTitle"/>
        <w:jc w:val="center"/>
      </w:pPr>
      <w:r>
        <w:t>ООО "ТРАНСНЕФТЬЭНЕРГО" В ЦЕЛЯХ ПОСТАВКИ ГРУППЕ "ПРОЧИЕ</w:t>
      </w:r>
    </w:p>
    <w:p w:rsidR="000C76EE" w:rsidRDefault="000C76EE">
      <w:pPr>
        <w:pStyle w:val="ConsPlusTitle"/>
        <w:jc w:val="center"/>
      </w:pPr>
      <w:r>
        <w:t>ПОТРЕБИТЕЛИ" И ГРУППЕ "СЕТЕВЫЕ ОРГАНИЗАЦИИ, ПОКУПАЮЩИЕ</w:t>
      </w:r>
    </w:p>
    <w:p w:rsidR="000C76EE" w:rsidRDefault="000C76EE">
      <w:pPr>
        <w:pStyle w:val="ConsPlusTitle"/>
        <w:jc w:val="center"/>
      </w:pPr>
      <w:r>
        <w:t>ЭЛЕКТРИЧЕСКУЮ ЭНЕРГИЮ ДЛЯ КОМПЕНСАЦИИ ПОТЕРЬ",</w:t>
      </w:r>
    </w:p>
    <w:p w:rsidR="000C76EE" w:rsidRDefault="000C76EE">
      <w:pPr>
        <w:pStyle w:val="ConsPlusTitle"/>
        <w:jc w:val="center"/>
      </w:pPr>
      <w:proofErr w:type="gramStart"/>
      <w:r>
        <w:t>ФУНКЦИОНИРУЮЩИМ</w:t>
      </w:r>
      <w:proofErr w:type="gramEnd"/>
      <w:r>
        <w:t xml:space="preserve"> НА ТЕРРИТОРИИ АМУРСКОЙ</w:t>
      </w:r>
    </w:p>
    <w:p w:rsidR="000C76EE" w:rsidRDefault="000C76EE">
      <w:pPr>
        <w:pStyle w:val="ConsPlusTitle"/>
        <w:jc w:val="center"/>
      </w:pPr>
      <w:r>
        <w:t>ОБЛАСТИ, НА 2016 ГОД</w:t>
      </w:r>
    </w:p>
    <w:p w:rsidR="000C76EE" w:rsidRDefault="000C76EE">
      <w:pPr>
        <w:pStyle w:val="ConsPlusNormal"/>
        <w:ind w:firstLine="540"/>
        <w:jc w:val="both"/>
      </w:pPr>
    </w:p>
    <w:p w:rsidR="000C76EE" w:rsidRDefault="000C76EE">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26 марта 2003 г. N 35-ФЗ "Об электроэнергетике", </w:t>
      </w:r>
      <w:hyperlink r:id="rId7" w:history="1">
        <w:r>
          <w:rPr>
            <w:color w:val="0000FF"/>
          </w:rPr>
          <w:t>постановлением</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w:t>
      </w:r>
      <w:hyperlink r:id="rId8" w:history="1">
        <w:r>
          <w:rPr>
            <w:color w:val="0000FF"/>
          </w:rPr>
          <w:t>Положением</w:t>
        </w:r>
      </w:hyperlink>
      <w:r>
        <w:t xml:space="preserve"> об управлении государственного регулирования цен и тарифов Амурской области, утвержденным постановлением губернатора Амурской области от 22 декабря 2008 г. N 491, на основании решения Правления</w:t>
      </w:r>
      <w:proofErr w:type="gramEnd"/>
      <w:r>
        <w:t xml:space="preserve"> управления от 29 декабря 2015 г. N 233-15/э приказываю:</w:t>
      </w:r>
    </w:p>
    <w:p w:rsidR="000C76EE" w:rsidRDefault="000C76EE">
      <w:pPr>
        <w:pStyle w:val="ConsPlusNormal"/>
        <w:ind w:firstLine="540"/>
        <w:jc w:val="both"/>
      </w:pPr>
      <w:r>
        <w:t xml:space="preserve">1. Установить </w:t>
      </w:r>
      <w:hyperlink w:anchor="P38" w:history="1">
        <w:r>
          <w:rPr>
            <w:color w:val="0000FF"/>
          </w:rPr>
          <w:t>тарифы</w:t>
        </w:r>
      </w:hyperlink>
      <w:r>
        <w:t xml:space="preserve"> на электрическую энергию (мощность), отпускаемую </w:t>
      </w:r>
      <w:proofErr w:type="spellStart"/>
      <w:r>
        <w:t>энергосбытовой</w:t>
      </w:r>
      <w:proofErr w:type="spellEnd"/>
      <w:r>
        <w:t xml:space="preserve"> организацией ООО "</w:t>
      </w:r>
      <w:proofErr w:type="spellStart"/>
      <w:r>
        <w:t>Русэнергоресурс</w:t>
      </w:r>
      <w:proofErr w:type="spellEnd"/>
      <w:r>
        <w:t xml:space="preserve">" </w:t>
      </w:r>
      <w:proofErr w:type="spellStart"/>
      <w:r>
        <w:t>энергосбытовой</w:t>
      </w:r>
      <w:proofErr w:type="spellEnd"/>
      <w:r>
        <w:t xml:space="preserve"> организац</w:t>
      </w:r>
      <w:proofErr w:type="gramStart"/>
      <w:r>
        <w:t>ии ООО</w:t>
      </w:r>
      <w:proofErr w:type="gramEnd"/>
      <w:r>
        <w:t xml:space="preserve"> "</w:t>
      </w:r>
      <w:proofErr w:type="spellStart"/>
      <w:r>
        <w:t>Транснефтьэнерго</w:t>
      </w:r>
      <w:proofErr w:type="spellEnd"/>
      <w:r>
        <w:t>" в целях поставки группе "прочие потребители" и группе "сетевые организации, покупающие электрическую энергию для компенсации потерь", на 2016 год с календарной разбивкой согласно приложению к настоящему приказу.</w:t>
      </w:r>
    </w:p>
    <w:p w:rsidR="000C76EE" w:rsidRDefault="000C76EE">
      <w:pPr>
        <w:pStyle w:val="ConsPlusNormal"/>
        <w:ind w:firstLine="540"/>
        <w:jc w:val="both"/>
      </w:pPr>
      <w:r>
        <w:t xml:space="preserve">2. Настоящий приказ вступает в силу в установленном </w:t>
      </w:r>
      <w:hyperlink r:id="rId9" w:history="1">
        <w:r>
          <w:rPr>
            <w:color w:val="0000FF"/>
          </w:rPr>
          <w:t>порядке</w:t>
        </w:r>
      </w:hyperlink>
      <w:r>
        <w:t>.</w:t>
      </w:r>
    </w:p>
    <w:p w:rsidR="000C76EE" w:rsidRDefault="000C76EE">
      <w:pPr>
        <w:pStyle w:val="ConsPlusNormal"/>
        <w:ind w:firstLine="540"/>
        <w:jc w:val="both"/>
      </w:pPr>
    </w:p>
    <w:p w:rsidR="000C76EE" w:rsidRDefault="000C76EE">
      <w:pPr>
        <w:pStyle w:val="ConsPlusNormal"/>
        <w:jc w:val="right"/>
      </w:pPr>
      <w:r>
        <w:t>Начальник управления</w:t>
      </w:r>
    </w:p>
    <w:p w:rsidR="000C76EE" w:rsidRDefault="000C76EE">
      <w:pPr>
        <w:pStyle w:val="ConsPlusNormal"/>
        <w:jc w:val="right"/>
      </w:pPr>
      <w:r>
        <w:t>государственного регулирования</w:t>
      </w:r>
    </w:p>
    <w:p w:rsidR="000C76EE" w:rsidRDefault="000C76EE">
      <w:pPr>
        <w:pStyle w:val="ConsPlusNormal"/>
        <w:jc w:val="right"/>
      </w:pPr>
      <w:r>
        <w:t>цен и тарифов</w:t>
      </w:r>
    </w:p>
    <w:p w:rsidR="000C76EE" w:rsidRDefault="000C76EE">
      <w:pPr>
        <w:pStyle w:val="ConsPlusNormal"/>
        <w:jc w:val="right"/>
      </w:pPr>
      <w:r>
        <w:t>Амурской области</w:t>
      </w:r>
    </w:p>
    <w:p w:rsidR="000C76EE" w:rsidRDefault="000C76EE">
      <w:pPr>
        <w:pStyle w:val="ConsPlusNormal"/>
        <w:jc w:val="right"/>
      </w:pPr>
      <w:r>
        <w:t>О.М.ЛИЧМАН</w:t>
      </w:r>
    </w:p>
    <w:p w:rsidR="000C76EE" w:rsidRDefault="000C76EE">
      <w:pPr>
        <w:sectPr w:rsidR="000C76EE" w:rsidSect="00952CE7">
          <w:pgSz w:w="11906" w:h="16838"/>
          <w:pgMar w:top="1134" w:right="850" w:bottom="1134" w:left="1701" w:header="708" w:footer="708" w:gutter="0"/>
          <w:cols w:space="708"/>
          <w:docGrid w:linePitch="360"/>
        </w:sectPr>
      </w:pPr>
    </w:p>
    <w:p w:rsidR="000C76EE" w:rsidRDefault="000C76EE">
      <w:pPr>
        <w:pStyle w:val="ConsPlusNormal"/>
        <w:jc w:val="right"/>
      </w:pPr>
      <w:r>
        <w:lastRenderedPageBreak/>
        <w:t>Приложение</w:t>
      </w:r>
    </w:p>
    <w:p w:rsidR="000C76EE" w:rsidRDefault="000C76EE">
      <w:pPr>
        <w:pStyle w:val="ConsPlusNormal"/>
        <w:jc w:val="right"/>
      </w:pPr>
      <w:r>
        <w:t>к приказу</w:t>
      </w:r>
    </w:p>
    <w:p w:rsidR="000C76EE" w:rsidRDefault="000C76EE">
      <w:pPr>
        <w:pStyle w:val="ConsPlusNormal"/>
        <w:jc w:val="right"/>
      </w:pPr>
      <w:r>
        <w:t>управления</w:t>
      </w:r>
    </w:p>
    <w:p w:rsidR="000C76EE" w:rsidRDefault="000C76EE">
      <w:pPr>
        <w:pStyle w:val="ConsPlusNormal"/>
        <w:jc w:val="right"/>
      </w:pPr>
      <w:r>
        <w:t>государственного регулирования</w:t>
      </w:r>
    </w:p>
    <w:p w:rsidR="000C76EE" w:rsidRDefault="000C76EE">
      <w:pPr>
        <w:pStyle w:val="ConsPlusNormal"/>
        <w:jc w:val="right"/>
      </w:pPr>
      <w:r>
        <w:t>цен и тарифов</w:t>
      </w:r>
    </w:p>
    <w:p w:rsidR="000C76EE" w:rsidRDefault="000C76EE">
      <w:pPr>
        <w:pStyle w:val="ConsPlusNormal"/>
        <w:jc w:val="right"/>
      </w:pPr>
      <w:r>
        <w:t>Амурской области</w:t>
      </w:r>
    </w:p>
    <w:p w:rsidR="000C76EE" w:rsidRDefault="000C76EE">
      <w:pPr>
        <w:pStyle w:val="ConsPlusNormal"/>
        <w:jc w:val="right"/>
      </w:pPr>
      <w:r>
        <w:t>от 29 декабря 2015 г. N 234-пр/э</w:t>
      </w:r>
    </w:p>
    <w:p w:rsidR="000C76EE" w:rsidRDefault="000C76EE">
      <w:pPr>
        <w:pStyle w:val="ConsPlusNormal"/>
        <w:ind w:firstLine="540"/>
        <w:jc w:val="both"/>
      </w:pPr>
    </w:p>
    <w:p w:rsidR="000C76EE" w:rsidRDefault="000C76EE">
      <w:pPr>
        <w:pStyle w:val="ConsPlusTitle"/>
        <w:jc w:val="center"/>
      </w:pPr>
      <w:bookmarkStart w:id="0" w:name="P38"/>
      <w:bookmarkEnd w:id="0"/>
      <w:r>
        <w:t>ТАРИФЫ НА ЭЛЕКТРИЧЕСКУЮ ЭНЕРГИЮ (МОЩНОСТЬ), ОТПУСКАЕМУЮ</w:t>
      </w:r>
    </w:p>
    <w:p w:rsidR="000C76EE" w:rsidRDefault="000C76EE">
      <w:pPr>
        <w:pStyle w:val="ConsPlusTitle"/>
        <w:jc w:val="center"/>
      </w:pPr>
      <w:r>
        <w:t>ЭНЕРГОСБЫТОВОЙ ОРГАНИЗАЦИЕЙ ООО "РУСЭНЕРГОРЕСУРС"</w:t>
      </w:r>
    </w:p>
    <w:p w:rsidR="000C76EE" w:rsidRDefault="000C76EE">
      <w:pPr>
        <w:pStyle w:val="ConsPlusTitle"/>
        <w:jc w:val="center"/>
      </w:pPr>
      <w:r>
        <w:t>ЭНЕРГОСБЫТОВОЙ ОРГАНИЗАЦ</w:t>
      </w:r>
      <w:proofErr w:type="gramStart"/>
      <w:r>
        <w:t>ИИ ООО</w:t>
      </w:r>
      <w:proofErr w:type="gramEnd"/>
      <w:r>
        <w:t xml:space="preserve"> "ТРАНСНЕФТЬЭНЕРГО"</w:t>
      </w:r>
    </w:p>
    <w:p w:rsidR="000C76EE" w:rsidRDefault="000C76EE">
      <w:pPr>
        <w:pStyle w:val="ConsPlusTitle"/>
        <w:jc w:val="center"/>
      </w:pPr>
      <w:r>
        <w:t>В ЦЕЛЯХ ПОСТАВКИ ГРУППЕ "ПРОЧИЕ ПОТРЕБИТЕЛИ"</w:t>
      </w:r>
    </w:p>
    <w:p w:rsidR="000C76EE" w:rsidRDefault="000C76EE">
      <w:pPr>
        <w:pStyle w:val="ConsPlusTitle"/>
        <w:jc w:val="center"/>
      </w:pPr>
      <w:r>
        <w:t>И ГРУППЕ "СЕТЕВЫЕ ОРГАНИЗАЦИИ, ПОКУПАЮЩИЕ</w:t>
      </w:r>
    </w:p>
    <w:p w:rsidR="000C76EE" w:rsidRDefault="000C76EE">
      <w:pPr>
        <w:pStyle w:val="ConsPlusTitle"/>
        <w:jc w:val="center"/>
      </w:pPr>
      <w:r>
        <w:t>ЭЛЕКТРИЧЕСКУЮ ЭНЕРГИЮ ДЛЯ КОМПЕНСАЦИИ</w:t>
      </w:r>
    </w:p>
    <w:p w:rsidR="000C76EE" w:rsidRDefault="000C76EE">
      <w:pPr>
        <w:pStyle w:val="ConsPlusTitle"/>
        <w:jc w:val="center"/>
      </w:pPr>
      <w:r>
        <w:t>ПОТЕРЬ", НА 2016 ГОД (БЕЗ УЧЕТА НДС)</w:t>
      </w:r>
    </w:p>
    <w:p w:rsidR="000C76EE" w:rsidRDefault="000C76E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846"/>
        <w:gridCol w:w="1361"/>
        <w:gridCol w:w="1361"/>
        <w:gridCol w:w="794"/>
        <w:gridCol w:w="907"/>
        <w:gridCol w:w="794"/>
        <w:gridCol w:w="1361"/>
        <w:gridCol w:w="794"/>
        <w:gridCol w:w="907"/>
        <w:gridCol w:w="794"/>
      </w:tblGrid>
      <w:tr w:rsidR="000C76EE">
        <w:tc>
          <w:tcPr>
            <w:tcW w:w="794" w:type="dxa"/>
            <w:vMerge w:val="restart"/>
          </w:tcPr>
          <w:p w:rsidR="000C76EE" w:rsidRDefault="000C76EE">
            <w:pPr>
              <w:pStyle w:val="ConsPlusNormal"/>
              <w:jc w:val="center"/>
            </w:pPr>
            <w:r>
              <w:t>N</w:t>
            </w:r>
          </w:p>
        </w:tc>
        <w:tc>
          <w:tcPr>
            <w:tcW w:w="2846" w:type="dxa"/>
            <w:vMerge w:val="restart"/>
          </w:tcPr>
          <w:p w:rsidR="000C76EE" w:rsidRDefault="000C76EE">
            <w:pPr>
              <w:pStyle w:val="ConsPlusNormal"/>
              <w:jc w:val="center"/>
            </w:pPr>
            <w:r>
              <w:t>Наименование организации (тарифы с разбивкой по составляющим и дифференциацией по зонам суток)</w:t>
            </w:r>
          </w:p>
        </w:tc>
        <w:tc>
          <w:tcPr>
            <w:tcW w:w="1361" w:type="dxa"/>
            <w:vMerge w:val="restart"/>
          </w:tcPr>
          <w:p w:rsidR="000C76EE" w:rsidRDefault="000C76EE">
            <w:pPr>
              <w:pStyle w:val="ConsPlusNormal"/>
              <w:jc w:val="center"/>
            </w:pPr>
            <w:r>
              <w:t>Единица измерения</w:t>
            </w:r>
          </w:p>
        </w:tc>
        <w:tc>
          <w:tcPr>
            <w:tcW w:w="3856" w:type="dxa"/>
            <w:gridSpan w:val="4"/>
          </w:tcPr>
          <w:p w:rsidR="000C76EE" w:rsidRDefault="000C76EE">
            <w:pPr>
              <w:pStyle w:val="ConsPlusNormal"/>
              <w:jc w:val="center"/>
            </w:pPr>
            <w:r>
              <w:t>1 полугодие</w:t>
            </w:r>
          </w:p>
        </w:tc>
        <w:tc>
          <w:tcPr>
            <w:tcW w:w="3856" w:type="dxa"/>
            <w:gridSpan w:val="4"/>
          </w:tcPr>
          <w:p w:rsidR="000C76EE" w:rsidRDefault="000C76EE">
            <w:pPr>
              <w:pStyle w:val="ConsPlusNormal"/>
              <w:jc w:val="center"/>
            </w:pPr>
            <w:r>
              <w:t>2 полугодие</w:t>
            </w:r>
          </w:p>
        </w:tc>
      </w:tr>
      <w:tr w:rsidR="000C76EE">
        <w:tc>
          <w:tcPr>
            <w:tcW w:w="794" w:type="dxa"/>
            <w:vMerge/>
          </w:tcPr>
          <w:p w:rsidR="000C76EE" w:rsidRDefault="000C76EE"/>
        </w:tc>
        <w:tc>
          <w:tcPr>
            <w:tcW w:w="2846" w:type="dxa"/>
            <w:vMerge/>
          </w:tcPr>
          <w:p w:rsidR="000C76EE" w:rsidRDefault="000C76EE"/>
        </w:tc>
        <w:tc>
          <w:tcPr>
            <w:tcW w:w="1361" w:type="dxa"/>
            <w:vMerge/>
          </w:tcPr>
          <w:p w:rsidR="000C76EE" w:rsidRDefault="000C76EE"/>
        </w:tc>
        <w:tc>
          <w:tcPr>
            <w:tcW w:w="3856" w:type="dxa"/>
            <w:gridSpan w:val="4"/>
          </w:tcPr>
          <w:p w:rsidR="000C76EE" w:rsidRDefault="000C76EE">
            <w:pPr>
              <w:pStyle w:val="ConsPlusNormal"/>
              <w:jc w:val="center"/>
            </w:pPr>
            <w:r>
              <w:t xml:space="preserve">Диапазоны напряжения </w:t>
            </w:r>
            <w:hyperlink w:anchor="P339" w:history="1">
              <w:r>
                <w:rPr>
                  <w:color w:val="0000FF"/>
                </w:rPr>
                <w:t>&lt;4&gt;</w:t>
              </w:r>
            </w:hyperlink>
          </w:p>
        </w:tc>
        <w:tc>
          <w:tcPr>
            <w:tcW w:w="3856" w:type="dxa"/>
            <w:gridSpan w:val="4"/>
          </w:tcPr>
          <w:p w:rsidR="000C76EE" w:rsidRDefault="000C76EE">
            <w:pPr>
              <w:pStyle w:val="ConsPlusNormal"/>
              <w:jc w:val="center"/>
            </w:pPr>
            <w:r>
              <w:t xml:space="preserve">Диапазоны напряжения </w:t>
            </w:r>
            <w:hyperlink w:anchor="P339" w:history="1">
              <w:r>
                <w:rPr>
                  <w:color w:val="0000FF"/>
                </w:rPr>
                <w:t>&lt;4&gt;</w:t>
              </w:r>
            </w:hyperlink>
          </w:p>
        </w:tc>
      </w:tr>
      <w:tr w:rsidR="000C76EE">
        <w:tc>
          <w:tcPr>
            <w:tcW w:w="794" w:type="dxa"/>
            <w:vMerge/>
          </w:tcPr>
          <w:p w:rsidR="000C76EE" w:rsidRDefault="000C76EE"/>
        </w:tc>
        <w:tc>
          <w:tcPr>
            <w:tcW w:w="2846" w:type="dxa"/>
            <w:vMerge/>
          </w:tcPr>
          <w:p w:rsidR="000C76EE" w:rsidRDefault="000C76EE"/>
        </w:tc>
        <w:tc>
          <w:tcPr>
            <w:tcW w:w="1361" w:type="dxa"/>
            <w:vMerge/>
          </w:tcPr>
          <w:p w:rsidR="000C76EE" w:rsidRDefault="000C76EE"/>
        </w:tc>
        <w:tc>
          <w:tcPr>
            <w:tcW w:w="1361" w:type="dxa"/>
          </w:tcPr>
          <w:p w:rsidR="000C76EE" w:rsidRDefault="000C76EE">
            <w:pPr>
              <w:pStyle w:val="ConsPlusNormal"/>
              <w:jc w:val="center"/>
            </w:pPr>
            <w:r>
              <w:t>BH</w:t>
            </w:r>
          </w:p>
        </w:tc>
        <w:tc>
          <w:tcPr>
            <w:tcW w:w="794" w:type="dxa"/>
          </w:tcPr>
          <w:p w:rsidR="000C76EE" w:rsidRDefault="000C76EE">
            <w:pPr>
              <w:pStyle w:val="ConsPlusNormal"/>
              <w:jc w:val="center"/>
            </w:pPr>
            <w:r>
              <w:t>CH-I</w:t>
            </w:r>
          </w:p>
        </w:tc>
        <w:tc>
          <w:tcPr>
            <w:tcW w:w="907" w:type="dxa"/>
          </w:tcPr>
          <w:p w:rsidR="000C76EE" w:rsidRDefault="000C76EE">
            <w:pPr>
              <w:pStyle w:val="ConsPlusNormal"/>
              <w:jc w:val="center"/>
            </w:pPr>
            <w:r>
              <w:t>CH-II</w:t>
            </w:r>
          </w:p>
        </w:tc>
        <w:tc>
          <w:tcPr>
            <w:tcW w:w="794" w:type="dxa"/>
          </w:tcPr>
          <w:p w:rsidR="000C76EE" w:rsidRDefault="000C76EE">
            <w:pPr>
              <w:pStyle w:val="ConsPlusNormal"/>
              <w:jc w:val="center"/>
            </w:pPr>
            <w:r>
              <w:t>HH</w:t>
            </w:r>
          </w:p>
        </w:tc>
        <w:tc>
          <w:tcPr>
            <w:tcW w:w="1361" w:type="dxa"/>
          </w:tcPr>
          <w:p w:rsidR="000C76EE" w:rsidRDefault="000C76EE">
            <w:pPr>
              <w:pStyle w:val="ConsPlusNormal"/>
              <w:jc w:val="center"/>
            </w:pPr>
            <w:r>
              <w:t>BH</w:t>
            </w:r>
          </w:p>
        </w:tc>
        <w:tc>
          <w:tcPr>
            <w:tcW w:w="794" w:type="dxa"/>
          </w:tcPr>
          <w:p w:rsidR="000C76EE" w:rsidRDefault="000C76EE">
            <w:pPr>
              <w:pStyle w:val="ConsPlusNormal"/>
              <w:jc w:val="center"/>
            </w:pPr>
            <w:r>
              <w:t>CH-I</w:t>
            </w:r>
          </w:p>
        </w:tc>
        <w:tc>
          <w:tcPr>
            <w:tcW w:w="907" w:type="dxa"/>
          </w:tcPr>
          <w:p w:rsidR="000C76EE" w:rsidRDefault="000C76EE">
            <w:pPr>
              <w:pStyle w:val="ConsPlusNormal"/>
              <w:jc w:val="center"/>
            </w:pPr>
            <w:r>
              <w:t>CH-II</w:t>
            </w:r>
          </w:p>
        </w:tc>
        <w:tc>
          <w:tcPr>
            <w:tcW w:w="794" w:type="dxa"/>
          </w:tcPr>
          <w:p w:rsidR="000C76EE" w:rsidRDefault="000C76EE">
            <w:pPr>
              <w:pStyle w:val="ConsPlusNormal"/>
              <w:jc w:val="center"/>
            </w:pPr>
            <w:r>
              <w:t>HH</w:t>
            </w:r>
          </w:p>
        </w:tc>
      </w:tr>
      <w:tr w:rsidR="000C76EE">
        <w:tc>
          <w:tcPr>
            <w:tcW w:w="794" w:type="dxa"/>
          </w:tcPr>
          <w:p w:rsidR="000C76EE" w:rsidRDefault="000C76EE">
            <w:pPr>
              <w:pStyle w:val="ConsPlusNormal"/>
              <w:jc w:val="center"/>
            </w:pPr>
            <w:r>
              <w:t>1</w:t>
            </w:r>
          </w:p>
        </w:tc>
        <w:tc>
          <w:tcPr>
            <w:tcW w:w="2846" w:type="dxa"/>
          </w:tcPr>
          <w:p w:rsidR="000C76EE" w:rsidRDefault="000C76EE">
            <w:pPr>
              <w:pStyle w:val="ConsPlusNormal"/>
              <w:jc w:val="center"/>
            </w:pPr>
            <w:r>
              <w:t>2</w:t>
            </w:r>
          </w:p>
        </w:tc>
        <w:tc>
          <w:tcPr>
            <w:tcW w:w="1361" w:type="dxa"/>
          </w:tcPr>
          <w:p w:rsidR="000C76EE" w:rsidRDefault="000C76EE">
            <w:pPr>
              <w:pStyle w:val="ConsPlusNormal"/>
              <w:jc w:val="center"/>
            </w:pPr>
            <w:r>
              <w:t>3</w:t>
            </w:r>
          </w:p>
        </w:tc>
        <w:tc>
          <w:tcPr>
            <w:tcW w:w="1361" w:type="dxa"/>
          </w:tcPr>
          <w:p w:rsidR="000C76EE" w:rsidRDefault="000C76EE">
            <w:pPr>
              <w:pStyle w:val="ConsPlusNormal"/>
              <w:jc w:val="center"/>
            </w:pPr>
            <w:r>
              <w:t>4</w:t>
            </w:r>
          </w:p>
        </w:tc>
        <w:tc>
          <w:tcPr>
            <w:tcW w:w="794" w:type="dxa"/>
          </w:tcPr>
          <w:p w:rsidR="000C76EE" w:rsidRDefault="000C76EE">
            <w:pPr>
              <w:pStyle w:val="ConsPlusNormal"/>
              <w:jc w:val="center"/>
            </w:pPr>
            <w:r>
              <w:t>5</w:t>
            </w:r>
          </w:p>
        </w:tc>
        <w:tc>
          <w:tcPr>
            <w:tcW w:w="907" w:type="dxa"/>
          </w:tcPr>
          <w:p w:rsidR="000C76EE" w:rsidRDefault="000C76EE">
            <w:pPr>
              <w:pStyle w:val="ConsPlusNormal"/>
              <w:jc w:val="center"/>
            </w:pPr>
            <w:r>
              <w:t>6</w:t>
            </w:r>
          </w:p>
        </w:tc>
        <w:tc>
          <w:tcPr>
            <w:tcW w:w="794" w:type="dxa"/>
          </w:tcPr>
          <w:p w:rsidR="000C76EE" w:rsidRDefault="000C76EE">
            <w:pPr>
              <w:pStyle w:val="ConsPlusNormal"/>
              <w:jc w:val="center"/>
            </w:pPr>
            <w:r>
              <w:t>7</w:t>
            </w:r>
          </w:p>
        </w:tc>
        <w:tc>
          <w:tcPr>
            <w:tcW w:w="1361" w:type="dxa"/>
          </w:tcPr>
          <w:p w:rsidR="000C76EE" w:rsidRDefault="000C76EE">
            <w:pPr>
              <w:pStyle w:val="ConsPlusNormal"/>
              <w:jc w:val="center"/>
            </w:pPr>
            <w:r>
              <w:t>8</w:t>
            </w:r>
          </w:p>
        </w:tc>
        <w:tc>
          <w:tcPr>
            <w:tcW w:w="794" w:type="dxa"/>
          </w:tcPr>
          <w:p w:rsidR="000C76EE" w:rsidRDefault="000C76EE">
            <w:pPr>
              <w:pStyle w:val="ConsPlusNormal"/>
              <w:jc w:val="center"/>
            </w:pPr>
            <w:r>
              <w:t>9</w:t>
            </w:r>
          </w:p>
        </w:tc>
        <w:tc>
          <w:tcPr>
            <w:tcW w:w="907" w:type="dxa"/>
          </w:tcPr>
          <w:p w:rsidR="000C76EE" w:rsidRDefault="000C76EE">
            <w:pPr>
              <w:pStyle w:val="ConsPlusNormal"/>
              <w:jc w:val="center"/>
            </w:pPr>
            <w:r>
              <w:t>10</w:t>
            </w:r>
          </w:p>
        </w:tc>
        <w:tc>
          <w:tcPr>
            <w:tcW w:w="794" w:type="dxa"/>
          </w:tcPr>
          <w:p w:rsidR="000C76EE" w:rsidRDefault="000C76EE">
            <w:pPr>
              <w:pStyle w:val="ConsPlusNormal"/>
              <w:jc w:val="center"/>
            </w:pPr>
            <w:r>
              <w:t>11</w:t>
            </w:r>
          </w:p>
        </w:tc>
      </w:tr>
      <w:tr w:rsidR="000C76EE">
        <w:tc>
          <w:tcPr>
            <w:tcW w:w="794" w:type="dxa"/>
          </w:tcPr>
          <w:p w:rsidR="000C76EE" w:rsidRDefault="000C76EE">
            <w:pPr>
              <w:pStyle w:val="ConsPlusNormal"/>
            </w:pPr>
            <w:r>
              <w:t>1.</w:t>
            </w:r>
          </w:p>
        </w:tc>
        <w:tc>
          <w:tcPr>
            <w:tcW w:w="2846" w:type="dxa"/>
          </w:tcPr>
          <w:p w:rsidR="000C76EE" w:rsidRDefault="000C76EE">
            <w:pPr>
              <w:pStyle w:val="ConsPlusNormal"/>
            </w:pPr>
            <w:proofErr w:type="spellStart"/>
            <w:r>
              <w:t>Одноставочный</w:t>
            </w:r>
            <w:proofErr w:type="spellEnd"/>
            <w:r>
              <w:t xml:space="preserve"> тариф покупки</w:t>
            </w:r>
          </w:p>
        </w:tc>
        <w:tc>
          <w:tcPr>
            <w:tcW w:w="1361" w:type="dxa"/>
          </w:tcPr>
          <w:p w:rsidR="000C76EE" w:rsidRDefault="000C76EE">
            <w:pPr>
              <w:pStyle w:val="ConsPlusNormal"/>
            </w:pPr>
            <w:r>
              <w:t xml:space="preserve">руб./кВт </w:t>
            </w:r>
            <w:proofErr w:type="gramStart"/>
            <w:r>
              <w:t>ч</w:t>
            </w:r>
            <w:proofErr w:type="gramEnd"/>
          </w:p>
        </w:tc>
        <w:tc>
          <w:tcPr>
            <w:tcW w:w="1361" w:type="dxa"/>
          </w:tcPr>
          <w:p w:rsidR="000C76EE" w:rsidRDefault="000C76EE">
            <w:pPr>
              <w:pStyle w:val="ConsPlusNormal"/>
            </w:pPr>
            <w:r>
              <w:t>1,93041</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c>
          <w:tcPr>
            <w:tcW w:w="1361" w:type="dxa"/>
          </w:tcPr>
          <w:p w:rsidR="000C76EE" w:rsidRDefault="000C76EE">
            <w:pPr>
              <w:pStyle w:val="ConsPlusNormal"/>
            </w:pPr>
            <w:r>
              <w:t>2,07577</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r>
      <w:tr w:rsidR="000C76EE">
        <w:tc>
          <w:tcPr>
            <w:tcW w:w="794" w:type="dxa"/>
          </w:tcPr>
          <w:p w:rsidR="000C76EE" w:rsidRDefault="000C76EE">
            <w:pPr>
              <w:pStyle w:val="ConsPlusNormal"/>
            </w:pPr>
            <w:r>
              <w:t>2.</w:t>
            </w:r>
          </w:p>
        </w:tc>
        <w:tc>
          <w:tcPr>
            <w:tcW w:w="11919" w:type="dxa"/>
            <w:gridSpan w:val="10"/>
          </w:tcPr>
          <w:p w:rsidR="000C76EE" w:rsidRDefault="000C76EE">
            <w:pPr>
              <w:pStyle w:val="ConsPlusNormal"/>
            </w:pPr>
            <w:proofErr w:type="spellStart"/>
            <w:r>
              <w:t>Трехставочный</w:t>
            </w:r>
            <w:proofErr w:type="spellEnd"/>
            <w:r>
              <w:t xml:space="preserve"> тариф покупки</w:t>
            </w:r>
          </w:p>
        </w:tc>
      </w:tr>
      <w:tr w:rsidR="000C76EE">
        <w:tc>
          <w:tcPr>
            <w:tcW w:w="794" w:type="dxa"/>
          </w:tcPr>
          <w:p w:rsidR="000C76EE" w:rsidRDefault="000C76EE">
            <w:pPr>
              <w:pStyle w:val="ConsPlusNormal"/>
            </w:pPr>
            <w:r>
              <w:t>2.1.</w:t>
            </w:r>
          </w:p>
        </w:tc>
        <w:tc>
          <w:tcPr>
            <w:tcW w:w="2846" w:type="dxa"/>
          </w:tcPr>
          <w:p w:rsidR="000C76EE" w:rsidRDefault="000C76EE">
            <w:pPr>
              <w:pStyle w:val="ConsPlusNormal"/>
            </w:pPr>
            <w:r>
              <w:t xml:space="preserve">Ставка стоимости единицы электрической мощности </w:t>
            </w:r>
            <w:hyperlink w:anchor="P337" w:history="1">
              <w:r>
                <w:rPr>
                  <w:color w:val="0000FF"/>
                </w:rPr>
                <w:t>&lt;2&gt;</w:t>
              </w:r>
            </w:hyperlink>
          </w:p>
        </w:tc>
        <w:tc>
          <w:tcPr>
            <w:tcW w:w="1361" w:type="dxa"/>
          </w:tcPr>
          <w:p w:rsidR="000C76EE" w:rsidRDefault="000C76EE">
            <w:pPr>
              <w:pStyle w:val="ConsPlusNormal"/>
            </w:pPr>
            <w:r>
              <w:t>руб./кВт мес.</w:t>
            </w:r>
          </w:p>
        </w:tc>
        <w:tc>
          <w:tcPr>
            <w:tcW w:w="1361" w:type="dxa"/>
          </w:tcPr>
          <w:p w:rsidR="000C76EE" w:rsidRDefault="000C76EE">
            <w:pPr>
              <w:pStyle w:val="ConsPlusNormal"/>
            </w:pPr>
            <w:r>
              <w:t>510,29094</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c>
          <w:tcPr>
            <w:tcW w:w="1361" w:type="dxa"/>
          </w:tcPr>
          <w:p w:rsidR="000C76EE" w:rsidRDefault="000C76EE">
            <w:pPr>
              <w:pStyle w:val="ConsPlusNormal"/>
            </w:pPr>
            <w:r>
              <w:t>505,51982</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r>
      <w:tr w:rsidR="000C76EE">
        <w:tc>
          <w:tcPr>
            <w:tcW w:w="794" w:type="dxa"/>
          </w:tcPr>
          <w:p w:rsidR="000C76EE" w:rsidRDefault="000C76EE">
            <w:pPr>
              <w:pStyle w:val="ConsPlusNormal"/>
            </w:pPr>
            <w:r>
              <w:t>2.2.</w:t>
            </w:r>
          </w:p>
        </w:tc>
        <w:tc>
          <w:tcPr>
            <w:tcW w:w="2846" w:type="dxa"/>
          </w:tcPr>
          <w:p w:rsidR="000C76EE" w:rsidRDefault="000C76EE">
            <w:pPr>
              <w:pStyle w:val="ConsPlusNormal"/>
            </w:pPr>
            <w:r>
              <w:t xml:space="preserve">Ставка стоимости единицы электрической энергии </w:t>
            </w:r>
            <w:hyperlink w:anchor="P341" w:history="1">
              <w:r>
                <w:rPr>
                  <w:color w:val="0000FF"/>
                </w:rPr>
                <w:t>&lt;6&gt;</w:t>
              </w:r>
            </w:hyperlink>
          </w:p>
        </w:tc>
        <w:tc>
          <w:tcPr>
            <w:tcW w:w="1361" w:type="dxa"/>
          </w:tcPr>
          <w:p w:rsidR="000C76EE" w:rsidRDefault="000C76EE">
            <w:pPr>
              <w:pStyle w:val="ConsPlusNormal"/>
            </w:pPr>
            <w:r>
              <w:t xml:space="preserve">руб./кВт </w:t>
            </w:r>
            <w:proofErr w:type="gramStart"/>
            <w:r>
              <w:t>ч</w:t>
            </w:r>
            <w:proofErr w:type="gramEnd"/>
          </w:p>
        </w:tc>
        <w:tc>
          <w:tcPr>
            <w:tcW w:w="1361" w:type="dxa"/>
          </w:tcPr>
          <w:p w:rsidR="000C76EE" w:rsidRDefault="000C76EE">
            <w:pPr>
              <w:pStyle w:val="ConsPlusNormal"/>
            </w:pPr>
            <w:r>
              <w:t>0,78715</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c>
          <w:tcPr>
            <w:tcW w:w="1361" w:type="dxa"/>
          </w:tcPr>
          <w:p w:rsidR="000C76EE" w:rsidRDefault="000C76EE">
            <w:pPr>
              <w:pStyle w:val="ConsPlusNormal"/>
            </w:pPr>
            <w:r>
              <w:t>0,78734</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r>
      <w:tr w:rsidR="000C76EE">
        <w:tc>
          <w:tcPr>
            <w:tcW w:w="794" w:type="dxa"/>
          </w:tcPr>
          <w:p w:rsidR="000C76EE" w:rsidRDefault="000C76EE">
            <w:pPr>
              <w:pStyle w:val="ConsPlusNormal"/>
            </w:pPr>
            <w:r>
              <w:lastRenderedPageBreak/>
              <w:t>2.3.</w:t>
            </w:r>
          </w:p>
        </w:tc>
        <w:tc>
          <w:tcPr>
            <w:tcW w:w="2846" w:type="dxa"/>
          </w:tcPr>
          <w:p w:rsidR="000C76EE" w:rsidRDefault="000C76EE">
            <w:pPr>
              <w:pStyle w:val="ConsPlusNormal"/>
            </w:pPr>
            <w:r>
              <w:t xml:space="preserve">Ставка стоимости единицы электрической мощности </w:t>
            </w:r>
            <w:hyperlink w:anchor="P338" w:history="1">
              <w:r>
                <w:rPr>
                  <w:color w:val="0000FF"/>
                </w:rPr>
                <w:t>&lt;3&gt;</w:t>
              </w:r>
            </w:hyperlink>
            <w:r>
              <w:t xml:space="preserve">, </w:t>
            </w:r>
            <w:hyperlink w:anchor="P340" w:history="1">
              <w:r>
                <w:rPr>
                  <w:color w:val="0000FF"/>
                </w:rPr>
                <w:t>&lt;5&gt;</w:t>
              </w:r>
            </w:hyperlink>
          </w:p>
        </w:tc>
        <w:tc>
          <w:tcPr>
            <w:tcW w:w="1361" w:type="dxa"/>
          </w:tcPr>
          <w:p w:rsidR="000C76EE" w:rsidRDefault="000C76EE">
            <w:pPr>
              <w:pStyle w:val="ConsPlusNormal"/>
            </w:pPr>
            <w:r>
              <w:t>руб./кВт мес.</w:t>
            </w:r>
          </w:p>
        </w:tc>
        <w:tc>
          <w:tcPr>
            <w:tcW w:w="1361" w:type="dxa"/>
          </w:tcPr>
          <w:p w:rsidR="000C76EE" w:rsidRDefault="000C76EE">
            <w:pPr>
              <w:pStyle w:val="ConsPlusNormal"/>
            </w:pPr>
            <w:r>
              <w:t>144,68652</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c>
          <w:tcPr>
            <w:tcW w:w="1361" w:type="dxa"/>
          </w:tcPr>
          <w:p w:rsidR="000C76EE" w:rsidRDefault="000C76EE">
            <w:pPr>
              <w:pStyle w:val="ConsPlusNormal"/>
            </w:pPr>
            <w:r>
              <w:t>152,64899</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r>
      <w:tr w:rsidR="000C76EE">
        <w:tc>
          <w:tcPr>
            <w:tcW w:w="794" w:type="dxa"/>
          </w:tcPr>
          <w:p w:rsidR="000C76EE" w:rsidRDefault="000C76EE">
            <w:pPr>
              <w:pStyle w:val="ConsPlusNormal"/>
            </w:pPr>
            <w:r>
              <w:t>3.</w:t>
            </w:r>
          </w:p>
        </w:tc>
        <w:tc>
          <w:tcPr>
            <w:tcW w:w="11919" w:type="dxa"/>
            <w:gridSpan w:val="10"/>
          </w:tcPr>
          <w:p w:rsidR="000C76EE" w:rsidRDefault="000C76EE">
            <w:pPr>
              <w:pStyle w:val="ConsPlusNormal"/>
            </w:pPr>
            <w:proofErr w:type="spellStart"/>
            <w:r>
              <w:t>Одноставочный</w:t>
            </w:r>
            <w:proofErr w:type="spellEnd"/>
            <w:r>
              <w:t xml:space="preserve"> тариф покупки в целях поставки:</w:t>
            </w:r>
          </w:p>
        </w:tc>
      </w:tr>
      <w:tr w:rsidR="000C76EE">
        <w:tc>
          <w:tcPr>
            <w:tcW w:w="794" w:type="dxa"/>
          </w:tcPr>
          <w:p w:rsidR="000C76EE" w:rsidRDefault="000C76EE">
            <w:pPr>
              <w:pStyle w:val="ConsPlusNormal"/>
            </w:pPr>
            <w:r>
              <w:t>3.1.</w:t>
            </w:r>
          </w:p>
        </w:tc>
        <w:tc>
          <w:tcPr>
            <w:tcW w:w="2846" w:type="dxa"/>
          </w:tcPr>
          <w:p w:rsidR="000C76EE" w:rsidRDefault="000C76EE">
            <w:pPr>
              <w:pStyle w:val="ConsPlusNormal"/>
            </w:pPr>
            <w:r>
              <w:t>Для компенсации потерь</w:t>
            </w:r>
          </w:p>
        </w:tc>
        <w:tc>
          <w:tcPr>
            <w:tcW w:w="1361" w:type="dxa"/>
          </w:tcPr>
          <w:p w:rsidR="000C76EE" w:rsidRDefault="000C76EE">
            <w:pPr>
              <w:pStyle w:val="ConsPlusNormal"/>
            </w:pPr>
            <w:r>
              <w:t xml:space="preserve">руб./кВт </w:t>
            </w:r>
            <w:proofErr w:type="gramStart"/>
            <w:r>
              <w:t>ч</w:t>
            </w:r>
            <w:proofErr w:type="gramEnd"/>
          </w:p>
        </w:tc>
        <w:tc>
          <w:tcPr>
            <w:tcW w:w="1361" w:type="dxa"/>
          </w:tcPr>
          <w:p w:rsidR="000C76EE" w:rsidRDefault="000C76EE">
            <w:pPr>
              <w:pStyle w:val="ConsPlusNormal"/>
            </w:pPr>
            <w:r>
              <w:t>-</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c>
          <w:tcPr>
            <w:tcW w:w="1361" w:type="dxa"/>
          </w:tcPr>
          <w:p w:rsidR="000C76EE" w:rsidRDefault="000C76EE">
            <w:pPr>
              <w:pStyle w:val="ConsPlusNormal"/>
            </w:pPr>
            <w:r>
              <w:t>-</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r>
      <w:tr w:rsidR="000C76EE">
        <w:tc>
          <w:tcPr>
            <w:tcW w:w="794" w:type="dxa"/>
          </w:tcPr>
          <w:p w:rsidR="000C76EE" w:rsidRDefault="000C76EE">
            <w:pPr>
              <w:pStyle w:val="ConsPlusNormal"/>
            </w:pPr>
            <w:r>
              <w:t>3.2.</w:t>
            </w:r>
          </w:p>
        </w:tc>
        <w:tc>
          <w:tcPr>
            <w:tcW w:w="11919" w:type="dxa"/>
            <w:gridSpan w:val="10"/>
          </w:tcPr>
          <w:p w:rsidR="000C76EE" w:rsidRDefault="000C76EE">
            <w:pPr>
              <w:pStyle w:val="ConsPlusNormal"/>
            </w:pPr>
            <w:r>
              <w:t xml:space="preserve">Для прочих потребителей, дифференцированных по подгруппам потребителей с учетом максимальной мощности </w:t>
            </w:r>
            <w:proofErr w:type="spellStart"/>
            <w:r>
              <w:t>энергопринимающих</w:t>
            </w:r>
            <w:proofErr w:type="spellEnd"/>
            <w:r>
              <w:t xml:space="preserve"> устройств</w:t>
            </w:r>
          </w:p>
        </w:tc>
      </w:tr>
      <w:tr w:rsidR="000C76EE">
        <w:tblPrEx>
          <w:tblBorders>
            <w:insideH w:val="nil"/>
          </w:tblBorders>
        </w:tblPrEx>
        <w:tc>
          <w:tcPr>
            <w:tcW w:w="12713" w:type="dxa"/>
            <w:gridSpan w:val="11"/>
            <w:tcBorders>
              <w:bottom w:val="nil"/>
            </w:tcBorders>
          </w:tcPr>
          <w:p w:rsidR="000C76EE" w:rsidRDefault="000C76EE">
            <w:pPr>
              <w:pStyle w:val="ConsPlusNormal"/>
              <w:pBdr>
                <w:top w:val="single" w:sz="6" w:space="0" w:color="auto"/>
              </w:pBdr>
              <w:spacing w:before="100" w:after="100"/>
              <w:jc w:val="both"/>
              <w:rPr>
                <w:sz w:val="2"/>
                <w:szCs w:val="2"/>
              </w:rPr>
            </w:pPr>
          </w:p>
          <w:p w:rsidR="000C76EE" w:rsidRDefault="000C76EE">
            <w:pPr>
              <w:pStyle w:val="ConsPlusNormal"/>
              <w:ind w:firstLine="540"/>
              <w:jc w:val="both"/>
            </w:pPr>
            <w:proofErr w:type="spellStart"/>
            <w:r>
              <w:rPr>
                <w:color w:val="0A2666"/>
              </w:rPr>
              <w:t>КонсультантПлюс</w:t>
            </w:r>
            <w:proofErr w:type="spellEnd"/>
            <w:r>
              <w:rPr>
                <w:color w:val="0A2666"/>
              </w:rPr>
              <w:t>: примечание.</w:t>
            </w:r>
          </w:p>
          <w:p w:rsidR="000C76EE" w:rsidRDefault="000C76EE">
            <w:pPr>
              <w:pStyle w:val="ConsPlusNormal"/>
              <w:ind w:firstLine="540"/>
              <w:jc w:val="both"/>
            </w:pPr>
            <w:r>
              <w:rPr>
                <w:color w:val="0A2666"/>
              </w:rPr>
              <w:t>Нумерация подпунктов дана в соответствии с официальным текстом документа.</w:t>
            </w:r>
          </w:p>
          <w:p w:rsidR="000C76EE" w:rsidRDefault="000C76EE">
            <w:pPr>
              <w:pStyle w:val="ConsPlusNormal"/>
              <w:pBdr>
                <w:top w:val="single" w:sz="6" w:space="0" w:color="auto"/>
              </w:pBdr>
              <w:spacing w:before="100" w:after="100"/>
              <w:jc w:val="both"/>
              <w:rPr>
                <w:sz w:val="2"/>
                <w:szCs w:val="2"/>
              </w:rPr>
            </w:pPr>
          </w:p>
        </w:tc>
      </w:tr>
      <w:tr w:rsidR="000C76EE">
        <w:tblPrEx>
          <w:tblBorders>
            <w:insideH w:val="nil"/>
          </w:tblBorders>
        </w:tblPrEx>
        <w:tc>
          <w:tcPr>
            <w:tcW w:w="794" w:type="dxa"/>
            <w:tcBorders>
              <w:top w:val="nil"/>
            </w:tcBorders>
          </w:tcPr>
          <w:p w:rsidR="000C76EE" w:rsidRDefault="000C76EE">
            <w:pPr>
              <w:pStyle w:val="ConsPlusNormal"/>
            </w:pPr>
            <w:r>
              <w:t>3.3.1.</w:t>
            </w:r>
          </w:p>
        </w:tc>
        <w:tc>
          <w:tcPr>
            <w:tcW w:w="2846" w:type="dxa"/>
            <w:tcBorders>
              <w:top w:val="nil"/>
            </w:tcBorders>
          </w:tcPr>
          <w:p w:rsidR="000C76EE" w:rsidRDefault="000C76EE">
            <w:pPr>
              <w:pStyle w:val="ConsPlusNormal"/>
            </w:pPr>
            <w:r>
              <w:t>Менее 150 кВт</w:t>
            </w:r>
          </w:p>
        </w:tc>
        <w:tc>
          <w:tcPr>
            <w:tcW w:w="1361" w:type="dxa"/>
            <w:tcBorders>
              <w:top w:val="nil"/>
            </w:tcBorders>
          </w:tcPr>
          <w:p w:rsidR="000C76EE" w:rsidRDefault="000C76EE">
            <w:pPr>
              <w:pStyle w:val="ConsPlusNormal"/>
            </w:pPr>
            <w:r>
              <w:t xml:space="preserve">руб./кВт </w:t>
            </w:r>
            <w:proofErr w:type="gramStart"/>
            <w:r>
              <w:t>ч</w:t>
            </w:r>
            <w:proofErr w:type="gramEnd"/>
          </w:p>
        </w:tc>
        <w:tc>
          <w:tcPr>
            <w:tcW w:w="1361" w:type="dxa"/>
            <w:tcBorders>
              <w:top w:val="nil"/>
            </w:tcBorders>
          </w:tcPr>
          <w:p w:rsidR="000C76EE" w:rsidRDefault="000C76EE">
            <w:pPr>
              <w:pStyle w:val="ConsPlusNormal"/>
            </w:pPr>
            <w:r>
              <w:t>-</w:t>
            </w:r>
          </w:p>
        </w:tc>
        <w:tc>
          <w:tcPr>
            <w:tcW w:w="794" w:type="dxa"/>
            <w:tcBorders>
              <w:top w:val="nil"/>
            </w:tcBorders>
          </w:tcPr>
          <w:p w:rsidR="000C76EE" w:rsidRDefault="000C76EE">
            <w:pPr>
              <w:pStyle w:val="ConsPlusNormal"/>
            </w:pPr>
            <w:r>
              <w:t>-</w:t>
            </w:r>
          </w:p>
        </w:tc>
        <w:tc>
          <w:tcPr>
            <w:tcW w:w="907" w:type="dxa"/>
            <w:tcBorders>
              <w:top w:val="nil"/>
            </w:tcBorders>
          </w:tcPr>
          <w:p w:rsidR="000C76EE" w:rsidRDefault="000C76EE">
            <w:pPr>
              <w:pStyle w:val="ConsPlusNormal"/>
            </w:pPr>
            <w:r>
              <w:t>-</w:t>
            </w:r>
          </w:p>
        </w:tc>
        <w:tc>
          <w:tcPr>
            <w:tcW w:w="794" w:type="dxa"/>
            <w:tcBorders>
              <w:top w:val="nil"/>
            </w:tcBorders>
          </w:tcPr>
          <w:p w:rsidR="000C76EE" w:rsidRDefault="000C76EE">
            <w:pPr>
              <w:pStyle w:val="ConsPlusNormal"/>
            </w:pPr>
            <w:r>
              <w:t>-</w:t>
            </w:r>
          </w:p>
        </w:tc>
        <w:tc>
          <w:tcPr>
            <w:tcW w:w="1361" w:type="dxa"/>
            <w:tcBorders>
              <w:top w:val="nil"/>
            </w:tcBorders>
          </w:tcPr>
          <w:p w:rsidR="000C76EE" w:rsidRDefault="000C76EE">
            <w:pPr>
              <w:pStyle w:val="ConsPlusNormal"/>
            </w:pPr>
            <w:r>
              <w:t>-</w:t>
            </w:r>
          </w:p>
        </w:tc>
        <w:tc>
          <w:tcPr>
            <w:tcW w:w="794" w:type="dxa"/>
            <w:tcBorders>
              <w:top w:val="nil"/>
            </w:tcBorders>
          </w:tcPr>
          <w:p w:rsidR="000C76EE" w:rsidRDefault="000C76EE">
            <w:pPr>
              <w:pStyle w:val="ConsPlusNormal"/>
            </w:pPr>
            <w:r>
              <w:t>-</w:t>
            </w:r>
          </w:p>
        </w:tc>
        <w:tc>
          <w:tcPr>
            <w:tcW w:w="907" w:type="dxa"/>
            <w:tcBorders>
              <w:top w:val="nil"/>
            </w:tcBorders>
          </w:tcPr>
          <w:p w:rsidR="000C76EE" w:rsidRDefault="000C76EE">
            <w:pPr>
              <w:pStyle w:val="ConsPlusNormal"/>
            </w:pPr>
            <w:r>
              <w:t>-</w:t>
            </w:r>
          </w:p>
        </w:tc>
        <w:tc>
          <w:tcPr>
            <w:tcW w:w="794" w:type="dxa"/>
            <w:tcBorders>
              <w:top w:val="nil"/>
            </w:tcBorders>
          </w:tcPr>
          <w:p w:rsidR="000C76EE" w:rsidRDefault="000C76EE">
            <w:pPr>
              <w:pStyle w:val="ConsPlusNormal"/>
            </w:pPr>
            <w:r>
              <w:t>-</w:t>
            </w:r>
          </w:p>
        </w:tc>
      </w:tr>
      <w:tr w:rsidR="000C76EE">
        <w:tc>
          <w:tcPr>
            <w:tcW w:w="794" w:type="dxa"/>
          </w:tcPr>
          <w:p w:rsidR="000C76EE" w:rsidRDefault="000C76EE">
            <w:pPr>
              <w:pStyle w:val="ConsPlusNormal"/>
            </w:pPr>
            <w:r>
              <w:t>3.3.2.</w:t>
            </w:r>
          </w:p>
        </w:tc>
        <w:tc>
          <w:tcPr>
            <w:tcW w:w="2846" w:type="dxa"/>
          </w:tcPr>
          <w:p w:rsidR="000C76EE" w:rsidRDefault="000C76EE">
            <w:pPr>
              <w:pStyle w:val="ConsPlusNormal"/>
            </w:pPr>
            <w:r>
              <w:t>От 150 кВт до 670 кВт</w:t>
            </w:r>
          </w:p>
        </w:tc>
        <w:tc>
          <w:tcPr>
            <w:tcW w:w="1361" w:type="dxa"/>
          </w:tcPr>
          <w:p w:rsidR="000C76EE" w:rsidRDefault="000C76EE">
            <w:pPr>
              <w:pStyle w:val="ConsPlusNormal"/>
            </w:pPr>
            <w:r>
              <w:t xml:space="preserve">руб./кВт </w:t>
            </w:r>
            <w:proofErr w:type="gramStart"/>
            <w:r>
              <w:t>ч</w:t>
            </w:r>
            <w:proofErr w:type="gramEnd"/>
          </w:p>
        </w:tc>
        <w:tc>
          <w:tcPr>
            <w:tcW w:w="1361" w:type="dxa"/>
          </w:tcPr>
          <w:p w:rsidR="000C76EE" w:rsidRDefault="000C76EE">
            <w:pPr>
              <w:pStyle w:val="ConsPlusNormal"/>
            </w:pPr>
            <w:r>
              <w:t>1,93041</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c>
          <w:tcPr>
            <w:tcW w:w="1361" w:type="dxa"/>
          </w:tcPr>
          <w:p w:rsidR="000C76EE" w:rsidRDefault="000C76EE">
            <w:pPr>
              <w:pStyle w:val="ConsPlusNormal"/>
            </w:pPr>
            <w:r>
              <w:t>2,07577</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r>
      <w:tr w:rsidR="000C76EE">
        <w:tc>
          <w:tcPr>
            <w:tcW w:w="794" w:type="dxa"/>
          </w:tcPr>
          <w:p w:rsidR="000C76EE" w:rsidRDefault="000C76EE">
            <w:pPr>
              <w:pStyle w:val="ConsPlusNormal"/>
            </w:pPr>
            <w:r>
              <w:t>3.3.3.</w:t>
            </w:r>
          </w:p>
        </w:tc>
        <w:tc>
          <w:tcPr>
            <w:tcW w:w="2846" w:type="dxa"/>
          </w:tcPr>
          <w:p w:rsidR="000C76EE" w:rsidRDefault="000C76EE">
            <w:pPr>
              <w:pStyle w:val="ConsPlusNormal"/>
            </w:pPr>
            <w:r>
              <w:t>От 670 кВт до 10 МВт</w:t>
            </w:r>
          </w:p>
        </w:tc>
        <w:tc>
          <w:tcPr>
            <w:tcW w:w="1361" w:type="dxa"/>
          </w:tcPr>
          <w:p w:rsidR="000C76EE" w:rsidRDefault="000C76EE">
            <w:pPr>
              <w:pStyle w:val="ConsPlusNormal"/>
            </w:pPr>
            <w:r>
              <w:t xml:space="preserve">руб./кВт </w:t>
            </w:r>
            <w:proofErr w:type="gramStart"/>
            <w:r>
              <w:t>ч</w:t>
            </w:r>
            <w:proofErr w:type="gramEnd"/>
          </w:p>
        </w:tc>
        <w:tc>
          <w:tcPr>
            <w:tcW w:w="1361" w:type="dxa"/>
          </w:tcPr>
          <w:p w:rsidR="000C76EE" w:rsidRDefault="000C76EE">
            <w:pPr>
              <w:pStyle w:val="ConsPlusNormal"/>
            </w:pPr>
            <w:r>
              <w:t>-</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c>
          <w:tcPr>
            <w:tcW w:w="1361" w:type="dxa"/>
          </w:tcPr>
          <w:p w:rsidR="000C76EE" w:rsidRDefault="000C76EE">
            <w:pPr>
              <w:pStyle w:val="ConsPlusNormal"/>
            </w:pPr>
            <w:r>
              <w:t>-</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r>
      <w:tr w:rsidR="000C76EE">
        <w:tc>
          <w:tcPr>
            <w:tcW w:w="794" w:type="dxa"/>
          </w:tcPr>
          <w:p w:rsidR="000C76EE" w:rsidRDefault="000C76EE">
            <w:pPr>
              <w:pStyle w:val="ConsPlusNormal"/>
            </w:pPr>
            <w:r>
              <w:t>3.3.4.</w:t>
            </w:r>
          </w:p>
        </w:tc>
        <w:tc>
          <w:tcPr>
            <w:tcW w:w="2846" w:type="dxa"/>
          </w:tcPr>
          <w:p w:rsidR="000C76EE" w:rsidRDefault="000C76EE">
            <w:pPr>
              <w:pStyle w:val="ConsPlusNormal"/>
            </w:pPr>
            <w:r>
              <w:t>Не менее 10 МВт</w:t>
            </w:r>
          </w:p>
        </w:tc>
        <w:tc>
          <w:tcPr>
            <w:tcW w:w="1361" w:type="dxa"/>
          </w:tcPr>
          <w:p w:rsidR="000C76EE" w:rsidRDefault="000C76EE">
            <w:pPr>
              <w:pStyle w:val="ConsPlusNormal"/>
            </w:pPr>
            <w:r>
              <w:t xml:space="preserve">руб./кВт </w:t>
            </w:r>
            <w:proofErr w:type="gramStart"/>
            <w:r>
              <w:t>ч</w:t>
            </w:r>
            <w:proofErr w:type="gramEnd"/>
          </w:p>
        </w:tc>
        <w:tc>
          <w:tcPr>
            <w:tcW w:w="1361" w:type="dxa"/>
          </w:tcPr>
          <w:p w:rsidR="000C76EE" w:rsidRDefault="000C76EE">
            <w:pPr>
              <w:pStyle w:val="ConsPlusNormal"/>
            </w:pPr>
            <w:r>
              <w:t>-</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c>
          <w:tcPr>
            <w:tcW w:w="1361" w:type="dxa"/>
          </w:tcPr>
          <w:p w:rsidR="000C76EE" w:rsidRDefault="000C76EE">
            <w:pPr>
              <w:pStyle w:val="ConsPlusNormal"/>
            </w:pPr>
            <w:r>
              <w:t>-</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r>
      <w:tr w:rsidR="000C76EE">
        <w:tc>
          <w:tcPr>
            <w:tcW w:w="794" w:type="dxa"/>
          </w:tcPr>
          <w:p w:rsidR="000C76EE" w:rsidRDefault="000C76EE">
            <w:pPr>
              <w:pStyle w:val="ConsPlusNormal"/>
            </w:pPr>
            <w:r>
              <w:t>4.</w:t>
            </w:r>
          </w:p>
        </w:tc>
        <w:tc>
          <w:tcPr>
            <w:tcW w:w="2846" w:type="dxa"/>
          </w:tcPr>
          <w:p w:rsidR="000C76EE" w:rsidRDefault="000C76EE">
            <w:pPr>
              <w:pStyle w:val="ConsPlusNormal"/>
            </w:pPr>
            <w:proofErr w:type="spellStart"/>
            <w:r>
              <w:t>Трехставочный</w:t>
            </w:r>
            <w:proofErr w:type="spellEnd"/>
            <w:r>
              <w:t xml:space="preserve"> тариф покупки в целях поставки:</w:t>
            </w:r>
          </w:p>
        </w:tc>
        <w:tc>
          <w:tcPr>
            <w:tcW w:w="1361" w:type="dxa"/>
          </w:tcPr>
          <w:p w:rsidR="000C76EE" w:rsidRDefault="000C76EE">
            <w:pPr>
              <w:pStyle w:val="ConsPlusNormal"/>
            </w:pPr>
          </w:p>
        </w:tc>
        <w:tc>
          <w:tcPr>
            <w:tcW w:w="3856" w:type="dxa"/>
            <w:gridSpan w:val="4"/>
          </w:tcPr>
          <w:p w:rsidR="000C76EE" w:rsidRDefault="000C76EE">
            <w:pPr>
              <w:pStyle w:val="ConsPlusNormal"/>
            </w:pPr>
          </w:p>
        </w:tc>
        <w:tc>
          <w:tcPr>
            <w:tcW w:w="3856" w:type="dxa"/>
            <w:gridSpan w:val="4"/>
          </w:tcPr>
          <w:p w:rsidR="000C76EE" w:rsidRDefault="000C76EE">
            <w:pPr>
              <w:pStyle w:val="ConsPlusNormal"/>
            </w:pPr>
          </w:p>
        </w:tc>
      </w:tr>
      <w:tr w:rsidR="000C76EE">
        <w:tc>
          <w:tcPr>
            <w:tcW w:w="794" w:type="dxa"/>
            <w:vMerge w:val="restart"/>
          </w:tcPr>
          <w:p w:rsidR="000C76EE" w:rsidRDefault="000C76EE">
            <w:pPr>
              <w:pStyle w:val="ConsPlusNormal"/>
            </w:pPr>
            <w:r>
              <w:t>4.1.</w:t>
            </w:r>
          </w:p>
        </w:tc>
        <w:tc>
          <w:tcPr>
            <w:tcW w:w="2846" w:type="dxa"/>
            <w:vMerge w:val="restart"/>
          </w:tcPr>
          <w:p w:rsidR="000C76EE" w:rsidRDefault="000C76EE">
            <w:pPr>
              <w:pStyle w:val="ConsPlusNormal"/>
            </w:pPr>
            <w:r>
              <w:t>Для компенсации потерь</w:t>
            </w:r>
          </w:p>
        </w:tc>
        <w:tc>
          <w:tcPr>
            <w:tcW w:w="1361" w:type="dxa"/>
          </w:tcPr>
          <w:p w:rsidR="000C76EE" w:rsidRDefault="000C76EE">
            <w:pPr>
              <w:pStyle w:val="ConsPlusNormal"/>
            </w:pPr>
            <w:r>
              <w:t xml:space="preserve">руб./кВт </w:t>
            </w:r>
            <w:proofErr w:type="gramStart"/>
            <w:r>
              <w:t>ч</w:t>
            </w:r>
            <w:proofErr w:type="gramEnd"/>
          </w:p>
        </w:tc>
        <w:tc>
          <w:tcPr>
            <w:tcW w:w="1361" w:type="dxa"/>
          </w:tcPr>
          <w:p w:rsidR="000C76EE" w:rsidRDefault="000C76EE">
            <w:pPr>
              <w:pStyle w:val="ConsPlusNormal"/>
            </w:pPr>
            <w:r>
              <w:t>-</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c>
          <w:tcPr>
            <w:tcW w:w="1361" w:type="dxa"/>
          </w:tcPr>
          <w:p w:rsidR="000C76EE" w:rsidRDefault="000C76EE">
            <w:pPr>
              <w:pStyle w:val="ConsPlusNormal"/>
            </w:pPr>
            <w:r>
              <w:t>-</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r>
      <w:tr w:rsidR="000C76EE">
        <w:tc>
          <w:tcPr>
            <w:tcW w:w="794" w:type="dxa"/>
            <w:vMerge/>
          </w:tcPr>
          <w:p w:rsidR="000C76EE" w:rsidRDefault="000C76EE"/>
        </w:tc>
        <w:tc>
          <w:tcPr>
            <w:tcW w:w="2846" w:type="dxa"/>
            <w:vMerge/>
          </w:tcPr>
          <w:p w:rsidR="000C76EE" w:rsidRDefault="000C76EE"/>
        </w:tc>
        <w:tc>
          <w:tcPr>
            <w:tcW w:w="1361" w:type="dxa"/>
          </w:tcPr>
          <w:p w:rsidR="000C76EE" w:rsidRDefault="000C76EE">
            <w:pPr>
              <w:pStyle w:val="ConsPlusNormal"/>
            </w:pPr>
            <w:r>
              <w:t>руб./кВт мес.</w:t>
            </w:r>
          </w:p>
        </w:tc>
        <w:tc>
          <w:tcPr>
            <w:tcW w:w="1361" w:type="dxa"/>
          </w:tcPr>
          <w:p w:rsidR="000C76EE" w:rsidRDefault="000C76EE">
            <w:pPr>
              <w:pStyle w:val="ConsPlusNormal"/>
            </w:pPr>
            <w:r>
              <w:t>-</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c>
          <w:tcPr>
            <w:tcW w:w="1361" w:type="dxa"/>
          </w:tcPr>
          <w:p w:rsidR="000C76EE" w:rsidRDefault="000C76EE">
            <w:pPr>
              <w:pStyle w:val="ConsPlusNormal"/>
            </w:pPr>
            <w:r>
              <w:t>-</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r>
      <w:tr w:rsidR="000C76EE">
        <w:tc>
          <w:tcPr>
            <w:tcW w:w="794" w:type="dxa"/>
            <w:vMerge/>
          </w:tcPr>
          <w:p w:rsidR="000C76EE" w:rsidRDefault="000C76EE"/>
        </w:tc>
        <w:tc>
          <w:tcPr>
            <w:tcW w:w="2846" w:type="dxa"/>
            <w:vMerge/>
          </w:tcPr>
          <w:p w:rsidR="000C76EE" w:rsidRDefault="000C76EE"/>
        </w:tc>
        <w:tc>
          <w:tcPr>
            <w:tcW w:w="1361" w:type="dxa"/>
          </w:tcPr>
          <w:p w:rsidR="000C76EE" w:rsidRDefault="000C76EE">
            <w:pPr>
              <w:pStyle w:val="ConsPlusNormal"/>
            </w:pPr>
            <w:r>
              <w:t xml:space="preserve">руб./кВт мес. </w:t>
            </w:r>
            <w:hyperlink w:anchor="P340" w:history="1">
              <w:r>
                <w:rPr>
                  <w:color w:val="0000FF"/>
                </w:rPr>
                <w:t>&lt;5&gt;</w:t>
              </w:r>
            </w:hyperlink>
          </w:p>
        </w:tc>
        <w:tc>
          <w:tcPr>
            <w:tcW w:w="1361" w:type="dxa"/>
          </w:tcPr>
          <w:p w:rsidR="000C76EE" w:rsidRDefault="000C76EE">
            <w:pPr>
              <w:pStyle w:val="ConsPlusNormal"/>
            </w:pPr>
            <w:r>
              <w:t>-</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c>
          <w:tcPr>
            <w:tcW w:w="1361" w:type="dxa"/>
          </w:tcPr>
          <w:p w:rsidR="000C76EE" w:rsidRDefault="000C76EE">
            <w:pPr>
              <w:pStyle w:val="ConsPlusNormal"/>
            </w:pPr>
            <w:r>
              <w:t>-</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r>
      <w:tr w:rsidR="000C76EE">
        <w:tc>
          <w:tcPr>
            <w:tcW w:w="794" w:type="dxa"/>
          </w:tcPr>
          <w:p w:rsidR="000C76EE" w:rsidRDefault="000C76EE">
            <w:pPr>
              <w:pStyle w:val="ConsPlusNormal"/>
            </w:pPr>
            <w:r>
              <w:t>4.2.</w:t>
            </w:r>
          </w:p>
        </w:tc>
        <w:tc>
          <w:tcPr>
            <w:tcW w:w="11919" w:type="dxa"/>
            <w:gridSpan w:val="10"/>
          </w:tcPr>
          <w:p w:rsidR="000C76EE" w:rsidRDefault="000C76EE">
            <w:pPr>
              <w:pStyle w:val="ConsPlusNormal"/>
            </w:pPr>
            <w:r>
              <w:t xml:space="preserve">Для прочих потребителей, дифференцированных по подгруппам потребителей с учетом максимальной мощности </w:t>
            </w:r>
            <w:proofErr w:type="spellStart"/>
            <w:r>
              <w:t>энергопринимающих</w:t>
            </w:r>
            <w:proofErr w:type="spellEnd"/>
            <w:r>
              <w:t xml:space="preserve"> устройств</w:t>
            </w:r>
          </w:p>
        </w:tc>
      </w:tr>
      <w:tr w:rsidR="000C76EE">
        <w:tc>
          <w:tcPr>
            <w:tcW w:w="794" w:type="dxa"/>
            <w:vMerge w:val="restart"/>
          </w:tcPr>
          <w:p w:rsidR="000C76EE" w:rsidRDefault="000C76EE">
            <w:pPr>
              <w:pStyle w:val="ConsPlusNormal"/>
            </w:pPr>
            <w:r>
              <w:lastRenderedPageBreak/>
              <w:t>4.2.1.</w:t>
            </w:r>
          </w:p>
        </w:tc>
        <w:tc>
          <w:tcPr>
            <w:tcW w:w="2846" w:type="dxa"/>
            <w:vMerge w:val="restart"/>
          </w:tcPr>
          <w:p w:rsidR="000C76EE" w:rsidRDefault="000C76EE">
            <w:pPr>
              <w:pStyle w:val="ConsPlusNormal"/>
            </w:pPr>
            <w:r>
              <w:t>Менее 150 кВт</w:t>
            </w:r>
          </w:p>
        </w:tc>
        <w:tc>
          <w:tcPr>
            <w:tcW w:w="1361" w:type="dxa"/>
          </w:tcPr>
          <w:p w:rsidR="000C76EE" w:rsidRDefault="000C76EE">
            <w:pPr>
              <w:pStyle w:val="ConsPlusNormal"/>
            </w:pPr>
            <w:r>
              <w:t xml:space="preserve">руб./кВт </w:t>
            </w:r>
            <w:proofErr w:type="gramStart"/>
            <w:r>
              <w:t>ч</w:t>
            </w:r>
            <w:proofErr w:type="gramEnd"/>
          </w:p>
        </w:tc>
        <w:tc>
          <w:tcPr>
            <w:tcW w:w="1361" w:type="dxa"/>
          </w:tcPr>
          <w:p w:rsidR="000C76EE" w:rsidRDefault="000C76EE">
            <w:pPr>
              <w:pStyle w:val="ConsPlusNormal"/>
            </w:pPr>
            <w:r>
              <w:t>-</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c>
          <w:tcPr>
            <w:tcW w:w="1361" w:type="dxa"/>
          </w:tcPr>
          <w:p w:rsidR="000C76EE" w:rsidRDefault="000C76EE">
            <w:pPr>
              <w:pStyle w:val="ConsPlusNormal"/>
            </w:pPr>
            <w:r>
              <w:t>-</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r>
      <w:tr w:rsidR="000C76EE">
        <w:tc>
          <w:tcPr>
            <w:tcW w:w="794" w:type="dxa"/>
            <w:vMerge/>
          </w:tcPr>
          <w:p w:rsidR="000C76EE" w:rsidRDefault="000C76EE"/>
        </w:tc>
        <w:tc>
          <w:tcPr>
            <w:tcW w:w="2846" w:type="dxa"/>
            <w:vMerge/>
          </w:tcPr>
          <w:p w:rsidR="000C76EE" w:rsidRDefault="000C76EE"/>
        </w:tc>
        <w:tc>
          <w:tcPr>
            <w:tcW w:w="1361" w:type="dxa"/>
          </w:tcPr>
          <w:p w:rsidR="000C76EE" w:rsidRDefault="000C76EE">
            <w:pPr>
              <w:pStyle w:val="ConsPlusNormal"/>
            </w:pPr>
            <w:r>
              <w:t>руб./кВт мес.</w:t>
            </w:r>
          </w:p>
        </w:tc>
        <w:tc>
          <w:tcPr>
            <w:tcW w:w="1361" w:type="dxa"/>
          </w:tcPr>
          <w:p w:rsidR="000C76EE" w:rsidRDefault="000C76EE">
            <w:pPr>
              <w:pStyle w:val="ConsPlusNormal"/>
            </w:pPr>
            <w:r>
              <w:t>-</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c>
          <w:tcPr>
            <w:tcW w:w="1361" w:type="dxa"/>
          </w:tcPr>
          <w:p w:rsidR="000C76EE" w:rsidRDefault="000C76EE">
            <w:pPr>
              <w:pStyle w:val="ConsPlusNormal"/>
            </w:pPr>
            <w:r>
              <w:t>-</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r>
      <w:tr w:rsidR="000C76EE">
        <w:tc>
          <w:tcPr>
            <w:tcW w:w="794" w:type="dxa"/>
            <w:vMerge/>
          </w:tcPr>
          <w:p w:rsidR="000C76EE" w:rsidRDefault="000C76EE"/>
        </w:tc>
        <w:tc>
          <w:tcPr>
            <w:tcW w:w="2846" w:type="dxa"/>
            <w:vMerge/>
          </w:tcPr>
          <w:p w:rsidR="000C76EE" w:rsidRDefault="000C76EE"/>
        </w:tc>
        <w:tc>
          <w:tcPr>
            <w:tcW w:w="1361" w:type="dxa"/>
          </w:tcPr>
          <w:p w:rsidR="000C76EE" w:rsidRDefault="000C76EE">
            <w:pPr>
              <w:pStyle w:val="ConsPlusNormal"/>
            </w:pPr>
            <w:r>
              <w:t xml:space="preserve">руб./кВт мес. </w:t>
            </w:r>
            <w:hyperlink w:anchor="P340" w:history="1">
              <w:r>
                <w:rPr>
                  <w:color w:val="0000FF"/>
                </w:rPr>
                <w:t>&lt;5&gt;</w:t>
              </w:r>
            </w:hyperlink>
          </w:p>
        </w:tc>
        <w:tc>
          <w:tcPr>
            <w:tcW w:w="1361" w:type="dxa"/>
          </w:tcPr>
          <w:p w:rsidR="000C76EE" w:rsidRDefault="000C76EE">
            <w:pPr>
              <w:pStyle w:val="ConsPlusNormal"/>
            </w:pPr>
            <w:r>
              <w:t>-</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c>
          <w:tcPr>
            <w:tcW w:w="1361" w:type="dxa"/>
          </w:tcPr>
          <w:p w:rsidR="000C76EE" w:rsidRDefault="000C76EE">
            <w:pPr>
              <w:pStyle w:val="ConsPlusNormal"/>
            </w:pPr>
            <w:r>
              <w:t>-</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r>
      <w:tr w:rsidR="000C76EE">
        <w:tc>
          <w:tcPr>
            <w:tcW w:w="794" w:type="dxa"/>
            <w:vMerge w:val="restart"/>
          </w:tcPr>
          <w:p w:rsidR="000C76EE" w:rsidRDefault="000C76EE">
            <w:pPr>
              <w:pStyle w:val="ConsPlusNormal"/>
            </w:pPr>
            <w:r>
              <w:t>4.2.2.</w:t>
            </w:r>
          </w:p>
        </w:tc>
        <w:tc>
          <w:tcPr>
            <w:tcW w:w="2846" w:type="dxa"/>
            <w:vMerge w:val="restart"/>
          </w:tcPr>
          <w:p w:rsidR="000C76EE" w:rsidRDefault="000C76EE">
            <w:pPr>
              <w:pStyle w:val="ConsPlusNormal"/>
            </w:pPr>
            <w:r>
              <w:t>От 150 кВт до 670 кВт</w:t>
            </w:r>
          </w:p>
        </w:tc>
        <w:tc>
          <w:tcPr>
            <w:tcW w:w="1361" w:type="dxa"/>
          </w:tcPr>
          <w:p w:rsidR="000C76EE" w:rsidRDefault="000C76EE">
            <w:pPr>
              <w:pStyle w:val="ConsPlusNormal"/>
            </w:pPr>
            <w:r>
              <w:t xml:space="preserve">руб./кВт </w:t>
            </w:r>
            <w:proofErr w:type="gramStart"/>
            <w:r>
              <w:t>ч</w:t>
            </w:r>
            <w:proofErr w:type="gramEnd"/>
            <w:r>
              <w:t xml:space="preserve"> </w:t>
            </w:r>
            <w:hyperlink w:anchor="P341" w:history="1">
              <w:r>
                <w:rPr>
                  <w:color w:val="0000FF"/>
                </w:rPr>
                <w:t>&lt;6&gt;</w:t>
              </w:r>
            </w:hyperlink>
          </w:p>
        </w:tc>
        <w:tc>
          <w:tcPr>
            <w:tcW w:w="1361" w:type="dxa"/>
          </w:tcPr>
          <w:p w:rsidR="000C76EE" w:rsidRDefault="000C76EE">
            <w:pPr>
              <w:pStyle w:val="ConsPlusNormal"/>
            </w:pPr>
            <w:r>
              <w:t>0,78715</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c>
          <w:tcPr>
            <w:tcW w:w="1361" w:type="dxa"/>
          </w:tcPr>
          <w:p w:rsidR="000C76EE" w:rsidRDefault="000C76EE">
            <w:pPr>
              <w:pStyle w:val="ConsPlusNormal"/>
            </w:pPr>
            <w:r>
              <w:t>0,78734</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r>
      <w:tr w:rsidR="000C76EE">
        <w:tc>
          <w:tcPr>
            <w:tcW w:w="794" w:type="dxa"/>
            <w:vMerge/>
          </w:tcPr>
          <w:p w:rsidR="000C76EE" w:rsidRDefault="000C76EE"/>
        </w:tc>
        <w:tc>
          <w:tcPr>
            <w:tcW w:w="2846" w:type="dxa"/>
            <w:vMerge/>
          </w:tcPr>
          <w:p w:rsidR="000C76EE" w:rsidRDefault="000C76EE"/>
        </w:tc>
        <w:tc>
          <w:tcPr>
            <w:tcW w:w="1361" w:type="dxa"/>
          </w:tcPr>
          <w:p w:rsidR="000C76EE" w:rsidRDefault="000C76EE">
            <w:pPr>
              <w:pStyle w:val="ConsPlusNormal"/>
            </w:pPr>
            <w:r>
              <w:t>руб./кВт мес.</w:t>
            </w:r>
          </w:p>
        </w:tc>
        <w:tc>
          <w:tcPr>
            <w:tcW w:w="1361" w:type="dxa"/>
          </w:tcPr>
          <w:p w:rsidR="000C76EE" w:rsidRDefault="000C76EE">
            <w:pPr>
              <w:pStyle w:val="ConsPlusNormal"/>
            </w:pPr>
            <w:r>
              <w:t>510,29094</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c>
          <w:tcPr>
            <w:tcW w:w="1361" w:type="dxa"/>
          </w:tcPr>
          <w:p w:rsidR="000C76EE" w:rsidRDefault="000C76EE">
            <w:pPr>
              <w:pStyle w:val="ConsPlusNormal"/>
            </w:pPr>
            <w:r>
              <w:t>505,51982</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r>
      <w:tr w:rsidR="000C76EE">
        <w:tc>
          <w:tcPr>
            <w:tcW w:w="794" w:type="dxa"/>
            <w:vMerge/>
          </w:tcPr>
          <w:p w:rsidR="000C76EE" w:rsidRDefault="000C76EE"/>
        </w:tc>
        <w:tc>
          <w:tcPr>
            <w:tcW w:w="2846" w:type="dxa"/>
            <w:vMerge/>
          </w:tcPr>
          <w:p w:rsidR="000C76EE" w:rsidRDefault="000C76EE"/>
        </w:tc>
        <w:tc>
          <w:tcPr>
            <w:tcW w:w="1361" w:type="dxa"/>
          </w:tcPr>
          <w:p w:rsidR="000C76EE" w:rsidRDefault="000C76EE">
            <w:pPr>
              <w:pStyle w:val="ConsPlusNormal"/>
            </w:pPr>
            <w:r>
              <w:t xml:space="preserve">руб./кВт мес. </w:t>
            </w:r>
            <w:hyperlink w:anchor="P340" w:history="1">
              <w:r>
                <w:rPr>
                  <w:color w:val="0000FF"/>
                </w:rPr>
                <w:t>&lt;5&gt;</w:t>
              </w:r>
            </w:hyperlink>
          </w:p>
        </w:tc>
        <w:tc>
          <w:tcPr>
            <w:tcW w:w="1361" w:type="dxa"/>
          </w:tcPr>
          <w:p w:rsidR="000C76EE" w:rsidRDefault="000C76EE">
            <w:pPr>
              <w:pStyle w:val="ConsPlusNormal"/>
            </w:pPr>
            <w:r>
              <w:t>144,68652</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c>
          <w:tcPr>
            <w:tcW w:w="1361" w:type="dxa"/>
          </w:tcPr>
          <w:p w:rsidR="000C76EE" w:rsidRDefault="000C76EE">
            <w:pPr>
              <w:pStyle w:val="ConsPlusNormal"/>
            </w:pPr>
            <w:r>
              <w:t>152,64899</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r>
      <w:tr w:rsidR="000C76EE">
        <w:tc>
          <w:tcPr>
            <w:tcW w:w="794" w:type="dxa"/>
            <w:vMerge w:val="restart"/>
          </w:tcPr>
          <w:p w:rsidR="000C76EE" w:rsidRDefault="000C76EE">
            <w:pPr>
              <w:pStyle w:val="ConsPlusNormal"/>
            </w:pPr>
            <w:r>
              <w:t>4.2.3.</w:t>
            </w:r>
          </w:p>
        </w:tc>
        <w:tc>
          <w:tcPr>
            <w:tcW w:w="2846" w:type="dxa"/>
            <w:vMerge w:val="restart"/>
          </w:tcPr>
          <w:p w:rsidR="000C76EE" w:rsidRDefault="000C76EE">
            <w:pPr>
              <w:pStyle w:val="ConsPlusNormal"/>
            </w:pPr>
            <w:r>
              <w:t>От 670 кВт до 10 МВт</w:t>
            </w:r>
          </w:p>
        </w:tc>
        <w:tc>
          <w:tcPr>
            <w:tcW w:w="1361" w:type="dxa"/>
          </w:tcPr>
          <w:p w:rsidR="000C76EE" w:rsidRDefault="000C76EE">
            <w:pPr>
              <w:pStyle w:val="ConsPlusNormal"/>
            </w:pPr>
            <w:r>
              <w:t xml:space="preserve">руб./кВт </w:t>
            </w:r>
            <w:proofErr w:type="gramStart"/>
            <w:r>
              <w:t>ч</w:t>
            </w:r>
            <w:proofErr w:type="gramEnd"/>
          </w:p>
        </w:tc>
        <w:tc>
          <w:tcPr>
            <w:tcW w:w="1361" w:type="dxa"/>
          </w:tcPr>
          <w:p w:rsidR="000C76EE" w:rsidRDefault="000C76EE">
            <w:pPr>
              <w:pStyle w:val="ConsPlusNormal"/>
            </w:pPr>
            <w:r>
              <w:t>-</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c>
          <w:tcPr>
            <w:tcW w:w="1361" w:type="dxa"/>
          </w:tcPr>
          <w:p w:rsidR="000C76EE" w:rsidRDefault="000C76EE">
            <w:pPr>
              <w:pStyle w:val="ConsPlusNormal"/>
            </w:pPr>
            <w:r>
              <w:t>-</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r>
      <w:tr w:rsidR="000C76EE">
        <w:tc>
          <w:tcPr>
            <w:tcW w:w="794" w:type="dxa"/>
            <w:vMerge/>
          </w:tcPr>
          <w:p w:rsidR="000C76EE" w:rsidRDefault="000C76EE"/>
        </w:tc>
        <w:tc>
          <w:tcPr>
            <w:tcW w:w="2846" w:type="dxa"/>
            <w:vMerge/>
          </w:tcPr>
          <w:p w:rsidR="000C76EE" w:rsidRDefault="000C76EE"/>
        </w:tc>
        <w:tc>
          <w:tcPr>
            <w:tcW w:w="1361" w:type="dxa"/>
          </w:tcPr>
          <w:p w:rsidR="000C76EE" w:rsidRDefault="000C76EE">
            <w:pPr>
              <w:pStyle w:val="ConsPlusNormal"/>
            </w:pPr>
            <w:r>
              <w:t>руб./кВт мес.</w:t>
            </w:r>
          </w:p>
        </w:tc>
        <w:tc>
          <w:tcPr>
            <w:tcW w:w="1361" w:type="dxa"/>
          </w:tcPr>
          <w:p w:rsidR="000C76EE" w:rsidRDefault="000C76EE">
            <w:pPr>
              <w:pStyle w:val="ConsPlusNormal"/>
            </w:pPr>
            <w:r>
              <w:t>-</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c>
          <w:tcPr>
            <w:tcW w:w="1361" w:type="dxa"/>
          </w:tcPr>
          <w:p w:rsidR="000C76EE" w:rsidRDefault="000C76EE">
            <w:pPr>
              <w:pStyle w:val="ConsPlusNormal"/>
            </w:pPr>
            <w:r>
              <w:t>-</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r>
      <w:tr w:rsidR="000C76EE">
        <w:tc>
          <w:tcPr>
            <w:tcW w:w="794" w:type="dxa"/>
            <w:vMerge/>
          </w:tcPr>
          <w:p w:rsidR="000C76EE" w:rsidRDefault="000C76EE"/>
        </w:tc>
        <w:tc>
          <w:tcPr>
            <w:tcW w:w="2846" w:type="dxa"/>
            <w:vMerge/>
          </w:tcPr>
          <w:p w:rsidR="000C76EE" w:rsidRDefault="000C76EE"/>
        </w:tc>
        <w:tc>
          <w:tcPr>
            <w:tcW w:w="1361" w:type="dxa"/>
          </w:tcPr>
          <w:p w:rsidR="000C76EE" w:rsidRDefault="000C76EE">
            <w:pPr>
              <w:pStyle w:val="ConsPlusNormal"/>
            </w:pPr>
            <w:r>
              <w:t xml:space="preserve">руб./кВт мес. </w:t>
            </w:r>
            <w:hyperlink w:anchor="P340" w:history="1">
              <w:r>
                <w:rPr>
                  <w:color w:val="0000FF"/>
                </w:rPr>
                <w:t>&lt;5&gt;</w:t>
              </w:r>
            </w:hyperlink>
          </w:p>
        </w:tc>
        <w:tc>
          <w:tcPr>
            <w:tcW w:w="1361" w:type="dxa"/>
          </w:tcPr>
          <w:p w:rsidR="000C76EE" w:rsidRDefault="000C76EE">
            <w:pPr>
              <w:pStyle w:val="ConsPlusNormal"/>
            </w:pPr>
            <w:r>
              <w:t>-</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c>
          <w:tcPr>
            <w:tcW w:w="1361" w:type="dxa"/>
          </w:tcPr>
          <w:p w:rsidR="000C76EE" w:rsidRDefault="000C76EE">
            <w:pPr>
              <w:pStyle w:val="ConsPlusNormal"/>
            </w:pPr>
            <w:r>
              <w:t>-</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r>
      <w:tr w:rsidR="000C76EE">
        <w:tc>
          <w:tcPr>
            <w:tcW w:w="794" w:type="dxa"/>
            <w:vMerge w:val="restart"/>
          </w:tcPr>
          <w:p w:rsidR="000C76EE" w:rsidRDefault="000C76EE">
            <w:pPr>
              <w:pStyle w:val="ConsPlusNormal"/>
            </w:pPr>
            <w:r>
              <w:t>4.2.4.</w:t>
            </w:r>
          </w:p>
        </w:tc>
        <w:tc>
          <w:tcPr>
            <w:tcW w:w="2846" w:type="dxa"/>
            <w:vMerge w:val="restart"/>
          </w:tcPr>
          <w:p w:rsidR="000C76EE" w:rsidRDefault="000C76EE">
            <w:pPr>
              <w:pStyle w:val="ConsPlusNormal"/>
            </w:pPr>
            <w:r>
              <w:t>Не менее 10 МВт</w:t>
            </w:r>
          </w:p>
        </w:tc>
        <w:tc>
          <w:tcPr>
            <w:tcW w:w="1361" w:type="dxa"/>
          </w:tcPr>
          <w:p w:rsidR="000C76EE" w:rsidRDefault="000C76EE">
            <w:pPr>
              <w:pStyle w:val="ConsPlusNormal"/>
            </w:pPr>
            <w:r>
              <w:t xml:space="preserve">руб./кВт </w:t>
            </w:r>
            <w:proofErr w:type="gramStart"/>
            <w:r>
              <w:t>ч</w:t>
            </w:r>
            <w:proofErr w:type="gramEnd"/>
          </w:p>
        </w:tc>
        <w:tc>
          <w:tcPr>
            <w:tcW w:w="1361" w:type="dxa"/>
          </w:tcPr>
          <w:p w:rsidR="000C76EE" w:rsidRDefault="000C76EE">
            <w:pPr>
              <w:pStyle w:val="ConsPlusNormal"/>
            </w:pPr>
            <w:r>
              <w:t>-</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c>
          <w:tcPr>
            <w:tcW w:w="1361" w:type="dxa"/>
          </w:tcPr>
          <w:p w:rsidR="000C76EE" w:rsidRDefault="000C76EE">
            <w:pPr>
              <w:pStyle w:val="ConsPlusNormal"/>
            </w:pPr>
            <w:r>
              <w:t>-</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r>
      <w:tr w:rsidR="000C76EE">
        <w:tc>
          <w:tcPr>
            <w:tcW w:w="794" w:type="dxa"/>
            <w:vMerge/>
          </w:tcPr>
          <w:p w:rsidR="000C76EE" w:rsidRDefault="000C76EE"/>
        </w:tc>
        <w:tc>
          <w:tcPr>
            <w:tcW w:w="2846" w:type="dxa"/>
            <w:vMerge/>
          </w:tcPr>
          <w:p w:rsidR="000C76EE" w:rsidRDefault="000C76EE"/>
        </w:tc>
        <w:tc>
          <w:tcPr>
            <w:tcW w:w="1361" w:type="dxa"/>
          </w:tcPr>
          <w:p w:rsidR="000C76EE" w:rsidRDefault="000C76EE">
            <w:pPr>
              <w:pStyle w:val="ConsPlusNormal"/>
            </w:pPr>
            <w:r>
              <w:t>руб./кВт мес.</w:t>
            </w:r>
          </w:p>
        </w:tc>
        <w:tc>
          <w:tcPr>
            <w:tcW w:w="1361" w:type="dxa"/>
          </w:tcPr>
          <w:p w:rsidR="000C76EE" w:rsidRDefault="000C76EE">
            <w:pPr>
              <w:pStyle w:val="ConsPlusNormal"/>
            </w:pPr>
            <w:r>
              <w:t>-</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c>
          <w:tcPr>
            <w:tcW w:w="1361" w:type="dxa"/>
          </w:tcPr>
          <w:p w:rsidR="000C76EE" w:rsidRDefault="000C76EE">
            <w:pPr>
              <w:pStyle w:val="ConsPlusNormal"/>
            </w:pPr>
            <w:r>
              <w:t>-</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r>
      <w:tr w:rsidR="000C76EE">
        <w:tc>
          <w:tcPr>
            <w:tcW w:w="794" w:type="dxa"/>
            <w:vMerge/>
          </w:tcPr>
          <w:p w:rsidR="000C76EE" w:rsidRDefault="000C76EE"/>
        </w:tc>
        <w:tc>
          <w:tcPr>
            <w:tcW w:w="2846" w:type="dxa"/>
            <w:vMerge/>
          </w:tcPr>
          <w:p w:rsidR="000C76EE" w:rsidRDefault="000C76EE"/>
        </w:tc>
        <w:tc>
          <w:tcPr>
            <w:tcW w:w="1361" w:type="dxa"/>
          </w:tcPr>
          <w:p w:rsidR="000C76EE" w:rsidRDefault="000C76EE">
            <w:pPr>
              <w:pStyle w:val="ConsPlusNormal"/>
            </w:pPr>
            <w:r>
              <w:t xml:space="preserve">руб./кВт мес. </w:t>
            </w:r>
            <w:hyperlink w:anchor="P340" w:history="1">
              <w:r>
                <w:rPr>
                  <w:color w:val="0000FF"/>
                </w:rPr>
                <w:t>&lt;5&gt;</w:t>
              </w:r>
            </w:hyperlink>
          </w:p>
        </w:tc>
        <w:tc>
          <w:tcPr>
            <w:tcW w:w="1361" w:type="dxa"/>
          </w:tcPr>
          <w:p w:rsidR="000C76EE" w:rsidRDefault="000C76EE">
            <w:pPr>
              <w:pStyle w:val="ConsPlusNormal"/>
            </w:pPr>
            <w:r>
              <w:t>-</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c>
          <w:tcPr>
            <w:tcW w:w="1361" w:type="dxa"/>
          </w:tcPr>
          <w:p w:rsidR="000C76EE" w:rsidRDefault="000C76EE">
            <w:pPr>
              <w:pStyle w:val="ConsPlusNormal"/>
            </w:pPr>
            <w:r>
              <w:t>-</w:t>
            </w:r>
          </w:p>
        </w:tc>
        <w:tc>
          <w:tcPr>
            <w:tcW w:w="794" w:type="dxa"/>
          </w:tcPr>
          <w:p w:rsidR="000C76EE" w:rsidRDefault="000C76EE">
            <w:pPr>
              <w:pStyle w:val="ConsPlusNormal"/>
            </w:pPr>
            <w:r>
              <w:t>-</w:t>
            </w:r>
          </w:p>
        </w:tc>
        <w:tc>
          <w:tcPr>
            <w:tcW w:w="907" w:type="dxa"/>
          </w:tcPr>
          <w:p w:rsidR="000C76EE" w:rsidRDefault="000C76EE">
            <w:pPr>
              <w:pStyle w:val="ConsPlusNormal"/>
            </w:pPr>
            <w:r>
              <w:t>-</w:t>
            </w:r>
          </w:p>
        </w:tc>
        <w:tc>
          <w:tcPr>
            <w:tcW w:w="794" w:type="dxa"/>
          </w:tcPr>
          <w:p w:rsidR="000C76EE" w:rsidRDefault="000C76EE">
            <w:pPr>
              <w:pStyle w:val="ConsPlusNormal"/>
            </w:pPr>
            <w:r>
              <w:t>-</w:t>
            </w:r>
          </w:p>
        </w:tc>
      </w:tr>
    </w:tbl>
    <w:p w:rsidR="000C76EE" w:rsidRDefault="000C76EE">
      <w:pPr>
        <w:sectPr w:rsidR="000C76EE">
          <w:pgSz w:w="16838" w:h="11905"/>
          <w:pgMar w:top="1701" w:right="1134" w:bottom="850" w:left="1134" w:header="0" w:footer="0" w:gutter="0"/>
          <w:cols w:space="720"/>
        </w:sectPr>
      </w:pPr>
    </w:p>
    <w:p w:rsidR="000C76EE" w:rsidRDefault="000C76EE">
      <w:pPr>
        <w:pStyle w:val="ConsPlusNormal"/>
        <w:ind w:firstLine="540"/>
        <w:jc w:val="both"/>
      </w:pPr>
      <w:bookmarkStart w:id="1" w:name="_GoBack"/>
      <w:bookmarkEnd w:id="1"/>
      <w:r>
        <w:lastRenderedPageBreak/>
        <w:t>--------------------------------</w:t>
      </w:r>
    </w:p>
    <w:p w:rsidR="000C76EE" w:rsidRDefault="000C76EE">
      <w:pPr>
        <w:pStyle w:val="ConsPlusNormal"/>
        <w:ind w:firstLine="540"/>
        <w:jc w:val="both"/>
      </w:pPr>
      <w:r>
        <w:t>Примечание.</w:t>
      </w:r>
    </w:p>
    <w:p w:rsidR="000C76EE" w:rsidRDefault="000C76EE">
      <w:pPr>
        <w:pStyle w:val="ConsPlusNormal"/>
        <w:ind w:firstLine="540"/>
        <w:jc w:val="both"/>
      </w:pPr>
      <w:proofErr w:type="gramStart"/>
      <w:r>
        <w:t xml:space="preserve">&lt;1&gt; Приложение применяется при установлении тарифов на покупную электроэнергию в целях поставки группе "прочие потребители" и группе "сетевые организации, покупающие электрическую энергию для компенсации потерь" в соответствии с </w:t>
      </w:r>
      <w:hyperlink r:id="rId10" w:history="1">
        <w:r>
          <w:rPr>
            <w:color w:val="0000FF"/>
          </w:rPr>
          <w:t>пунктом 29</w:t>
        </w:r>
      </w:hyperlink>
      <w:r>
        <w:t xml:space="preserve"> Методических указаний по расчету регулируемых тарифов и цен на электрическую (тепловую) энергию на розничном (потребительском) рынке, утвержденных приказом Федеральной службы по тарифам от 6 августа 2004 г. N 20-э/2</w:t>
      </w:r>
      <w:proofErr w:type="gramEnd"/>
      <w:r>
        <w:t xml:space="preserve"> (</w:t>
      </w:r>
      <w:proofErr w:type="gramStart"/>
      <w:r>
        <w:t>зарегистрирован Минюстом России 20 октября 2004 года, регистрационный N 6076), с изменениями и дополнениями, внесенными приказами ФСТ России от 23 ноября 2004 г. N 193-э/11 (зарегистрирован Минюстом России 16 декабря 2004 года, регистрационный N 6191), от 14 декабря 2004 г. N 289-Э/15 (зарегистрирован Минюстом России 21 декабря 2004 года, регистрационный N 6213), от 28 ноября 2006 г. N</w:t>
      </w:r>
      <w:proofErr w:type="gramEnd"/>
      <w:r>
        <w:t xml:space="preserve"> </w:t>
      </w:r>
      <w:proofErr w:type="gramStart"/>
      <w:r>
        <w:t>318-Э/15 (зарегистрирован Минюстом России 8 декабря 2006 года, регистрационный N 8574), от 30 января 2007 г. N 14-э/14 (зарегистрирован Минюстом России 6 марта 2007 года, регистрационный N 9041), от 31 июля 2007 г. N 138-э/6 (зарегистрирован Минюстом России 20 августа 2007 года, регистрационный N 10030), от 23 ноября 2007 г. N 385-э/1 (зарегистрирован Минюстом России 29</w:t>
      </w:r>
      <w:proofErr w:type="gramEnd"/>
      <w:r>
        <w:t xml:space="preserve"> </w:t>
      </w:r>
      <w:proofErr w:type="gramStart"/>
      <w:r>
        <w:t>ноября 2007 года, регистрационный N 10578), от 21 октября 2008 г. N 209-э/1 (зарегистрирован Минюстом России 6 ноября 2008 года, регистрационный N 12580), от 22 декабря 2009 г. N 469-э/8 (зарегистрирован Минюстом России 29 января 2010 года, регистрационный N 16132), от 31 декабря 2009 г. N 558-э/1 (зарегистрирован Минюстом России 9 февраля 2010 года, регистрационный N 16345</w:t>
      </w:r>
      <w:proofErr w:type="gramEnd"/>
      <w:r>
        <w:t xml:space="preserve">), </w:t>
      </w:r>
      <w:proofErr w:type="gramStart"/>
      <w:r>
        <w:t>от 24 июня 2011 г. N 303-э (зарегистрирован Минюстом России 7 июля 2011 года, регистрационный N 21290), от 26 декабря 2011 г. N 823-э (зарегистрирован Минюстом России 28 декабря 2011 года, регистрационный N 22794), от 13 июня 2013 г. N 760-э (зарегистрирован Минюстом России 16 июля 2013 года, регистрационный N 29078), от 14 апреля 2014 г. N 625-э (зарегистрирован Минюстом</w:t>
      </w:r>
      <w:proofErr w:type="gramEnd"/>
      <w:r>
        <w:t xml:space="preserve"> </w:t>
      </w:r>
      <w:proofErr w:type="gramStart"/>
      <w:r>
        <w:t>России 24 апреля 2014 года, регистрационный N 32113).</w:t>
      </w:r>
      <w:proofErr w:type="gramEnd"/>
    </w:p>
    <w:p w:rsidR="000C76EE" w:rsidRDefault="000C76EE">
      <w:pPr>
        <w:pStyle w:val="ConsPlusNormal"/>
        <w:ind w:firstLine="540"/>
        <w:jc w:val="both"/>
      </w:pPr>
      <w:bookmarkStart w:id="2" w:name="P337"/>
      <w:bookmarkEnd w:id="2"/>
      <w:r>
        <w:t xml:space="preserve">&lt;2&gt; Ставка стоимости единицы электрической мощности, оплачиваемой потребителем (покупателем в отношении указанного потребителя) в расчетный период в соответствии с Основными </w:t>
      </w:r>
      <w:hyperlink r:id="rId11"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w:t>
      </w:r>
    </w:p>
    <w:p w:rsidR="000C76EE" w:rsidRDefault="000C76EE">
      <w:pPr>
        <w:pStyle w:val="ConsPlusNormal"/>
        <w:ind w:firstLine="540"/>
        <w:jc w:val="both"/>
      </w:pPr>
      <w:bookmarkStart w:id="3" w:name="P338"/>
      <w:bookmarkEnd w:id="3"/>
      <w:r>
        <w:t xml:space="preserve">&lt;3&gt; Ставка стоимости единицы электрической мощности, определяемой в соответствии с </w:t>
      </w:r>
      <w:hyperlink r:id="rId1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0C76EE" w:rsidRDefault="000C76EE">
      <w:pPr>
        <w:pStyle w:val="ConsPlusNormal"/>
        <w:ind w:firstLine="540"/>
        <w:jc w:val="both"/>
      </w:pPr>
      <w:bookmarkStart w:id="4" w:name="P339"/>
      <w:bookmarkEnd w:id="4"/>
      <w:r>
        <w:t xml:space="preserve">&lt;4&gt; Цены (тарифы) на электрическую энергию (мощность) в технологически изолированных территориальных 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устанавливаются с дифференциацией по уровням напряжения в соответствии с </w:t>
      </w:r>
      <w:hyperlink r:id="rId13" w:history="1">
        <w:r>
          <w:rPr>
            <w:color w:val="0000FF"/>
          </w:rPr>
          <w:t>пунктом 78</w:t>
        </w:r>
      </w:hyperlink>
      <w:r>
        <w:t xml:space="preserve"> Основ ценообразования.</w:t>
      </w:r>
    </w:p>
    <w:p w:rsidR="000C76EE" w:rsidRDefault="000C76EE">
      <w:pPr>
        <w:pStyle w:val="ConsPlusNormal"/>
        <w:ind w:firstLine="540"/>
        <w:jc w:val="both"/>
      </w:pPr>
      <w:bookmarkStart w:id="5" w:name="P340"/>
      <w:bookmarkEnd w:id="5"/>
      <w:r>
        <w:t>&lt;5</w:t>
      </w:r>
      <w:proofErr w:type="gramStart"/>
      <w:r>
        <w:t>&gt; Д</w:t>
      </w:r>
      <w:proofErr w:type="gramEnd"/>
      <w:r>
        <w:t>ля договоров энергоснабжения.</w:t>
      </w:r>
    </w:p>
    <w:p w:rsidR="000C76EE" w:rsidRDefault="000C76EE">
      <w:pPr>
        <w:pStyle w:val="ConsPlusNormal"/>
        <w:ind w:firstLine="540"/>
        <w:jc w:val="both"/>
      </w:pPr>
      <w:bookmarkStart w:id="6" w:name="P341"/>
      <w:bookmarkEnd w:id="6"/>
      <w:r>
        <w:t>&lt;6</w:t>
      </w:r>
      <w:proofErr w:type="gramStart"/>
      <w:r>
        <w:t>&gt; В</w:t>
      </w:r>
      <w:proofErr w:type="gramEnd"/>
      <w:r>
        <w:t xml:space="preserve"> ставке стоимости единицы электрической энергии учтены только:</w:t>
      </w:r>
    </w:p>
    <w:p w:rsidR="000C76EE" w:rsidRDefault="000C76EE">
      <w:pPr>
        <w:pStyle w:val="ConsPlusNormal"/>
        <w:pBdr>
          <w:top w:val="single" w:sz="6" w:space="0" w:color="auto"/>
        </w:pBdr>
        <w:spacing w:before="100" w:after="100"/>
        <w:jc w:val="both"/>
        <w:rPr>
          <w:sz w:val="2"/>
          <w:szCs w:val="2"/>
        </w:rPr>
      </w:pPr>
    </w:p>
    <w:p w:rsidR="000C76EE" w:rsidRDefault="000C76EE">
      <w:pPr>
        <w:pStyle w:val="ConsPlusNormal"/>
        <w:ind w:firstLine="540"/>
        <w:jc w:val="both"/>
      </w:pPr>
      <w:proofErr w:type="spellStart"/>
      <w:r>
        <w:rPr>
          <w:color w:val="0A2666"/>
        </w:rPr>
        <w:t>КонсультантПлюс</w:t>
      </w:r>
      <w:proofErr w:type="spellEnd"/>
      <w:r>
        <w:rPr>
          <w:color w:val="0A2666"/>
        </w:rPr>
        <w:t>: примечание.</w:t>
      </w:r>
    </w:p>
    <w:p w:rsidR="000C76EE" w:rsidRDefault="000C76EE">
      <w:pPr>
        <w:pStyle w:val="ConsPlusNormal"/>
        <w:ind w:firstLine="540"/>
        <w:jc w:val="both"/>
      </w:pPr>
      <w:r>
        <w:rPr>
          <w:color w:val="0A2666"/>
        </w:rPr>
        <w:t>В официальном тексте документа, видимо, допущена опечатка: исходя из смысла приказа, имеется в виду: "... на электрическую энергию ...".</w:t>
      </w:r>
    </w:p>
    <w:p w:rsidR="000C76EE" w:rsidRDefault="000C76EE">
      <w:pPr>
        <w:pStyle w:val="ConsPlusNormal"/>
        <w:pBdr>
          <w:top w:val="single" w:sz="6" w:space="0" w:color="auto"/>
        </w:pBdr>
        <w:spacing w:before="100" w:after="100"/>
        <w:jc w:val="both"/>
        <w:rPr>
          <w:sz w:val="2"/>
          <w:szCs w:val="2"/>
        </w:rPr>
      </w:pPr>
    </w:p>
    <w:p w:rsidR="000C76EE" w:rsidRDefault="000C76EE">
      <w:pPr>
        <w:pStyle w:val="ConsPlusNormal"/>
        <w:ind w:firstLine="540"/>
        <w:jc w:val="both"/>
      </w:pPr>
      <w:r>
        <w:t xml:space="preserve">- индикативная цена на </w:t>
      </w:r>
      <w:proofErr w:type="gramStart"/>
      <w:r>
        <w:t>электрическую</w:t>
      </w:r>
      <w:proofErr w:type="gramEnd"/>
      <w:r>
        <w:t xml:space="preserve"> для покупателей - субъектов оптового рынка электрической энергии на территории Амурской области на 2016 год;</w:t>
      </w:r>
    </w:p>
    <w:p w:rsidR="000C76EE" w:rsidRDefault="000C76EE">
      <w:pPr>
        <w:pStyle w:val="ConsPlusNormal"/>
        <w:ind w:firstLine="540"/>
        <w:jc w:val="both"/>
      </w:pPr>
      <w:r>
        <w:t xml:space="preserve">- сумма тарифов на услуги, оказание которых является неотъемлемой частью процесса снабжения электрической энергией потребителей и размер </w:t>
      </w:r>
      <w:proofErr w:type="gramStart"/>
      <w:r>
        <w:t>платы</w:t>
      </w:r>
      <w:proofErr w:type="gramEnd"/>
      <w:r>
        <w:t xml:space="preserve"> за которые в соответствии с законодательством Российской Федерации подлежит государственному регулированию, за исключением услуг по передаче электрической энергии;</w:t>
      </w:r>
    </w:p>
    <w:p w:rsidR="000C76EE" w:rsidRDefault="000C76EE">
      <w:pPr>
        <w:pStyle w:val="ConsPlusNormal"/>
        <w:ind w:firstLine="540"/>
        <w:jc w:val="both"/>
      </w:pPr>
      <w:r>
        <w:t>- сбытовая надбавка гарантирующего поставщика.</w:t>
      </w:r>
    </w:p>
    <w:p w:rsidR="000C76EE" w:rsidRDefault="000C76EE">
      <w:pPr>
        <w:pStyle w:val="ConsPlusNormal"/>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w:t>
      </w:r>
      <w:r>
        <w:lastRenderedPageBreak/>
        <w:t>электрическим сетям единой национальной (общероссийской) электрической сети, рассчитывается коммерческим оператором оптового рынка для расчетного периода по Амурской области.</w:t>
      </w:r>
    </w:p>
    <w:p w:rsidR="000C76EE" w:rsidRDefault="000C76EE">
      <w:pPr>
        <w:pStyle w:val="ConsPlusNormal"/>
        <w:ind w:firstLine="540"/>
        <w:jc w:val="both"/>
      </w:pPr>
      <w:proofErr w:type="gramStart"/>
      <w:r>
        <w:t xml:space="preserve">В соответствии с </w:t>
      </w:r>
      <w:hyperlink r:id="rId14" w:history="1">
        <w:r>
          <w:rPr>
            <w:color w:val="0000FF"/>
          </w:rPr>
          <w:t>приказом</w:t>
        </w:r>
      </w:hyperlink>
      <w:r>
        <w:t xml:space="preserve"> ФСТ России от 9 декабря 2014 г. N 297-э/3 "Об утверждении тарифов на услуги по передаче электрической энергии по единой национальной (общероссийской) электрической сети, оказываемые ОАО "Федеральная сетевая компания Единой энергетической системы", на долгосрочный период регулирования 2015 - 2019 годы и долгосрочных параметров регулирования для организации по управлению единой национальной (общероссийской) электрической сетью на 2015 - 2019</w:t>
      </w:r>
      <w:proofErr w:type="gramEnd"/>
      <w:r>
        <w:t xml:space="preserve"> годы"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proofErr w:type="spellStart"/>
      <w:r>
        <w:t>Т</w:t>
      </w:r>
      <w:proofErr w:type="gramStart"/>
      <w:r>
        <w:rPr>
          <w:vertAlign w:val="subscript"/>
        </w:rPr>
        <w:t>i</w:t>
      </w:r>
      <w:proofErr w:type="gramEnd"/>
      <w:r>
        <w:rPr>
          <w:vertAlign w:val="subscript"/>
        </w:rPr>
        <w:t>,m</w:t>
      </w:r>
      <w:proofErr w:type="spellEnd"/>
      <w:r>
        <w:t>), устанавливается в виде формулы:</w:t>
      </w:r>
    </w:p>
    <w:p w:rsidR="000C76EE" w:rsidRDefault="000C76EE">
      <w:pPr>
        <w:pStyle w:val="ConsPlusNormal"/>
        <w:ind w:firstLine="540"/>
        <w:jc w:val="both"/>
      </w:pPr>
    </w:p>
    <w:p w:rsidR="000C76EE" w:rsidRDefault="000C76EE">
      <w:pPr>
        <w:pStyle w:val="ConsPlusNormal"/>
        <w:jc w:val="center"/>
      </w:pPr>
      <w:r w:rsidRPr="00415030">
        <w:rPr>
          <w:position w:val="-32"/>
        </w:rPr>
        <w:pict>
          <v:shape id="_x0000_i1025" style="width:96.75pt;height:42pt" coordsize="" o:spt="100" adj="0,,0" path="" filled="f" stroked="f">
            <v:stroke joinstyle="miter"/>
            <v:imagedata r:id="rId15" o:title="base_23632_83927_3"/>
            <v:formulas/>
            <v:path o:connecttype="segments"/>
          </v:shape>
        </w:pict>
      </w:r>
    </w:p>
    <w:p w:rsidR="000C76EE" w:rsidRDefault="000C76EE">
      <w:pPr>
        <w:pStyle w:val="ConsPlusNormal"/>
        <w:ind w:firstLine="540"/>
        <w:jc w:val="both"/>
      </w:pPr>
    </w:p>
    <w:p w:rsidR="000C76EE" w:rsidRDefault="000C76EE">
      <w:pPr>
        <w:pStyle w:val="ConsPlusNormal"/>
        <w:ind w:firstLine="540"/>
        <w:jc w:val="both"/>
      </w:pPr>
      <w:r>
        <w:t>где:</w:t>
      </w:r>
    </w:p>
    <w:p w:rsidR="000C76EE" w:rsidRDefault="000C76EE">
      <w:pPr>
        <w:pStyle w:val="ConsPlusNormal"/>
        <w:ind w:firstLine="540"/>
        <w:jc w:val="both"/>
      </w:pPr>
      <w:r w:rsidRPr="00415030">
        <w:rPr>
          <w:position w:val="-14"/>
        </w:rPr>
        <w:pict>
          <v:shape id="_x0000_i1026" style="width:58.5pt;height:22.5pt" coordsize="" o:spt="100" adj="0,,0" path="" filled="f" stroked="f">
            <v:stroke joinstyle="miter"/>
            <v:imagedata r:id="rId16" o:title="base_23632_83927_4"/>
            <v:formulas/>
            <v:path o:connecttype="segments"/>
          </v:shape>
        </w:pict>
      </w:r>
      <w:r>
        <w:t xml:space="preserve"> </w:t>
      </w:r>
      <w:proofErr w:type="gramStart"/>
      <w:r>
        <w:t>-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roofErr w:type="gramEnd"/>
    </w:p>
    <w:p w:rsidR="000C76EE" w:rsidRDefault="000C76EE">
      <w:pPr>
        <w:pStyle w:val="ConsPlusNormal"/>
        <w:ind w:firstLine="540"/>
        <w:jc w:val="both"/>
      </w:pPr>
      <w:proofErr w:type="gramStart"/>
      <w:r>
        <w:t>- в отношении i-</w:t>
      </w:r>
      <w:proofErr w:type="spellStart"/>
      <w:r>
        <w:t>го</w:t>
      </w:r>
      <w:proofErr w:type="spellEnd"/>
      <w:r>
        <w:t xml:space="preserve">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17"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w:t>
      </w:r>
      <w:proofErr w:type="gramEnd"/>
      <w:r>
        <w:t xml:space="preserve"> </w:t>
      </w:r>
      <w:proofErr w:type="gramStart"/>
      <w:r>
        <w:t>в целях компенсации потерь электрической энергии, с использованием понижающего коэффициента, 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roofErr w:type="gramEnd"/>
    </w:p>
    <w:p w:rsidR="000C76EE" w:rsidRDefault="000C76EE">
      <w:pPr>
        <w:pStyle w:val="ConsPlusNormal"/>
        <w:ind w:firstLine="540"/>
        <w:jc w:val="both"/>
      </w:pPr>
      <w:r w:rsidRPr="00415030">
        <w:rPr>
          <w:position w:val="-14"/>
        </w:rPr>
        <w:pict>
          <v:shape id="_x0000_i1027" style="width:48.75pt;height:22.5pt" coordsize="" o:spt="100" adj="0,,0" path="" filled="f" stroked="f">
            <v:stroke joinstyle="miter"/>
            <v:imagedata r:id="rId18" o:title="base_23632_83927_5"/>
            <v:formulas/>
            <v:path o:connecttype="segments"/>
          </v:shape>
        </w:pict>
      </w:r>
      <w:r>
        <w:t xml:space="preserve"> </w:t>
      </w:r>
      <w:proofErr w:type="gramStart"/>
      <w:r>
        <w:t>- объем потерь электрической энергии в электрических сетях единой национальной (общероссийской) электрической сети для месяца m в отношении i-</w:t>
      </w:r>
      <w:proofErr w:type="spellStart"/>
      <w:r>
        <w:t>го</w:t>
      </w:r>
      <w:proofErr w:type="spellEnd"/>
      <w:r>
        <w:t xml:space="preserve"> субъекта Российской Федерации, который отнесен к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 за расчетным</w:t>
      </w:r>
      <w:proofErr w:type="gramEnd"/>
      <w:r>
        <w:t xml:space="preserve">, и отнесенного на i-й субъект Российской Федерации, МВт </w:t>
      </w:r>
      <w:proofErr w:type="gramStart"/>
      <w:r>
        <w:t>ч</w:t>
      </w:r>
      <w:proofErr w:type="gramEnd"/>
      <w:r>
        <w:t>.</w:t>
      </w:r>
    </w:p>
    <w:p w:rsidR="000C76EE" w:rsidRDefault="000C76EE">
      <w:pPr>
        <w:pStyle w:val="ConsPlusNormal"/>
        <w:ind w:firstLine="540"/>
        <w:jc w:val="both"/>
      </w:pPr>
    </w:p>
    <w:p w:rsidR="000C76EE" w:rsidRDefault="000C76EE">
      <w:pPr>
        <w:pStyle w:val="ConsPlusNormal"/>
        <w:ind w:firstLine="540"/>
        <w:jc w:val="both"/>
      </w:pPr>
    </w:p>
    <w:p w:rsidR="000C76EE" w:rsidRDefault="000C76EE">
      <w:pPr>
        <w:pStyle w:val="ConsPlusNormal"/>
        <w:pBdr>
          <w:top w:val="single" w:sz="6" w:space="0" w:color="auto"/>
        </w:pBdr>
        <w:spacing w:before="100" w:after="100"/>
        <w:jc w:val="both"/>
        <w:rPr>
          <w:sz w:val="2"/>
          <w:szCs w:val="2"/>
        </w:rPr>
      </w:pPr>
    </w:p>
    <w:p w:rsidR="00E6683D" w:rsidRDefault="00E6683D"/>
    <w:sectPr w:rsidR="00E6683D" w:rsidSect="0041503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6EE"/>
    <w:rsid w:val="000525FF"/>
    <w:rsid w:val="000C76EE"/>
    <w:rsid w:val="00E66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6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76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76E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6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76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76E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6BD17CDE01894DD9A36C7E4461616F1EB1B3B91AC03E38DE4032AAAD2F91832057575EBDF7288CEE0F92kEHEH" TargetMode="External"/><Relationship Id="rId13" Type="http://schemas.openxmlformats.org/officeDocument/2006/relationships/hyperlink" Target="consultantplus://offline/ref=B26BD17CDE01894DD9A37273520D3F6A1FB3EFB412C0346E801F69F7FA269BD467180E1EFFkFHDH" TargetMode="External"/><Relationship Id="rId1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yperlink" Target="consultantplus://offline/ref=B26BD17CDE01894DD9A37273520D3F6A1FB3EFB412C0346E801F69F7FA269BD467180E1AkFHDH" TargetMode="External"/><Relationship Id="rId12" Type="http://schemas.openxmlformats.org/officeDocument/2006/relationships/hyperlink" Target="consultantplus://offline/ref=B26BD17CDE01894DD9A37273520D3F6A1FB2EBBC11C7346E801F69F7FA269BD467180E1CF9FA2A8BkEH7H" TargetMode="External"/><Relationship Id="rId17" Type="http://schemas.openxmlformats.org/officeDocument/2006/relationships/hyperlink" Target="consultantplus://offline/ref=B26BD17CDE01894DD9A37273520D3F6A1FB2E8B714C7346E801F69F7FA269BD467180E1CF9FA298EkEH9H" TargetMode="External"/><Relationship Id="rId2" Type="http://schemas.microsoft.com/office/2007/relationships/stylesWithEffects" Target="stylesWithEffects.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26BD17CDE01894DD9A37273520D3F6A1FB3ECB217C1346E801F69F7FA269BD467180E1CF9FB2A8CkEHAH" TargetMode="External"/><Relationship Id="rId11" Type="http://schemas.openxmlformats.org/officeDocument/2006/relationships/hyperlink" Target="consultantplus://offline/ref=B26BD17CDE01894DD9A37273520D3F6A1FB2E8BC16CA346E801F69F7FA269BD467180E1CF9FA298AkEHFH" TargetMode="External"/><Relationship Id="rId5" Type="http://schemas.openxmlformats.org/officeDocument/2006/relationships/hyperlink" Target="http://www.consultant.ru" TargetMode="External"/><Relationship Id="rId15" Type="http://schemas.openxmlformats.org/officeDocument/2006/relationships/image" Target="media/image1.wmf"/><Relationship Id="rId10" Type="http://schemas.openxmlformats.org/officeDocument/2006/relationships/hyperlink" Target="consultantplus://offline/ref=B26BD17CDE01894DD9A37273520D3F6A1FBCEFB010C1346E801F69F7FA269BD467180E1CF9FB2E89kEH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26BD17CDE01894DD9A36C7E4461616F1EB1B3B915C13D3DD44032AAAD2F91832057575EBDF7288CEE0A91kEH7H" TargetMode="External"/><Relationship Id="rId14" Type="http://schemas.openxmlformats.org/officeDocument/2006/relationships/hyperlink" Target="consultantplus://offline/ref=B26BD17CDE01894DD9A37273520D3F6A1FB3EFB215C4346E801F69F7FAk2H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1908</Words>
  <Characters>10882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nsalamov</dc:creator>
  <cp:lastModifiedBy>nsalamov</cp:lastModifiedBy>
  <cp:revision>1</cp:revision>
  <dcterms:created xsi:type="dcterms:W3CDTF">2016-02-29T07:07:00Z</dcterms:created>
  <dcterms:modified xsi:type="dcterms:W3CDTF">2016-02-29T07:09:00Z</dcterms:modified>
</cp:coreProperties>
</file>