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B" w:rsidRDefault="002745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45BB" w:rsidRDefault="002745BB">
      <w:pPr>
        <w:pStyle w:val="ConsPlusNormal"/>
        <w:jc w:val="both"/>
      </w:pPr>
    </w:p>
    <w:p w:rsidR="002745BB" w:rsidRDefault="002745BB">
      <w:pPr>
        <w:pStyle w:val="ConsPlusTitle"/>
        <w:jc w:val="center"/>
      </w:pPr>
      <w:r>
        <w:t>РЕГИОНАЛЬНАЯ СЛУЖБА ПО ТАРИФАМ РОСТОВСКОЙ ОБЛАСТИ</w:t>
      </w:r>
    </w:p>
    <w:p w:rsidR="002745BB" w:rsidRDefault="002745BB">
      <w:pPr>
        <w:pStyle w:val="ConsPlusTitle"/>
        <w:jc w:val="center"/>
      </w:pPr>
    </w:p>
    <w:p w:rsidR="002745BB" w:rsidRDefault="002745BB">
      <w:pPr>
        <w:pStyle w:val="ConsPlusTitle"/>
        <w:jc w:val="center"/>
      </w:pPr>
      <w:r>
        <w:t>ПОСТАНОВЛЕНИЕ</w:t>
      </w:r>
    </w:p>
    <w:p w:rsidR="002745BB" w:rsidRDefault="002745BB">
      <w:pPr>
        <w:pStyle w:val="ConsPlusTitle"/>
        <w:jc w:val="center"/>
      </w:pPr>
      <w:r>
        <w:t>от 5 августа 2013 г. N 28/1</w:t>
      </w:r>
    </w:p>
    <w:p w:rsidR="002745BB" w:rsidRDefault="002745BB">
      <w:pPr>
        <w:pStyle w:val="ConsPlusTitle"/>
        <w:jc w:val="center"/>
      </w:pPr>
    </w:p>
    <w:p w:rsidR="002745BB" w:rsidRDefault="002745BB">
      <w:pPr>
        <w:pStyle w:val="ConsPlusTitle"/>
        <w:jc w:val="center"/>
      </w:pPr>
      <w:r>
        <w:t>ОБ УСТАНОВЛЕНИИ СОЦИАЛЬНОЙ НОРМЫ ПОТРЕБЛЕНИЯ</w:t>
      </w:r>
    </w:p>
    <w:p w:rsidR="002745BB" w:rsidRDefault="002745BB">
      <w:pPr>
        <w:pStyle w:val="ConsPlusTitle"/>
        <w:jc w:val="center"/>
      </w:pPr>
      <w:r>
        <w:t>ЭЛЕКТРИЧЕСКОЙ ЭНЕРГИИ (МОЩНОСТИ) В РОСТОВСКОЙ ОБЛАСТИ</w:t>
      </w:r>
    </w:p>
    <w:p w:rsidR="002745BB" w:rsidRDefault="002745BB">
      <w:pPr>
        <w:pStyle w:val="ConsPlusNormal"/>
        <w:jc w:val="center"/>
      </w:pPr>
      <w:r>
        <w:t>Список изменяющих документов</w:t>
      </w:r>
    </w:p>
    <w:p w:rsidR="002745BB" w:rsidRDefault="002745BB">
      <w:pPr>
        <w:pStyle w:val="ConsPlusNormal"/>
        <w:jc w:val="center"/>
      </w:pPr>
      <w:proofErr w:type="gramStart"/>
      <w:r>
        <w:t xml:space="preserve">(в ред. постановлений РСТ РО от 20.09.2013 </w:t>
      </w:r>
      <w:hyperlink r:id="rId6" w:history="1">
        <w:r>
          <w:rPr>
            <w:color w:val="0000FF"/>
          </w:rPr>
          <w:t>N 38/1</w:t>
        </w:r>
      </w:hyperlink>
      <w:r>
        <w:t>,</w:t>
      </w:r>
      <w:proofErr w:type="gramEnd"/>
    </w:p>
    <w:p w:rsidR="002745BB" w:rsidRDefault="002745BB">
      <w:pPr>
        <w:pStyle w:val="ConsPlusNormal"/>
        <w:jc w:val="center"/>
      </w:pPr>
      <w:r>
        <w:t xml:space="preserve">от 25.03.2014 </w:t>
      </w:r>
      <w:hyperlink r:id="rId7" w:history="1">
        <w:r>
          <w:rPr>
            <w:color w:val="0000FF"/>
          </w:rPr>
          <w:t>N 10/1</w:t>
        </w:r>
      </w:hyperlink>
      <w:r>
        <w:t xml:space="preserve">, от 29.05.2014 </w:t>
      </w:r>
      <w:hyperlink r:id="rId8" w:history="1">
        <w:r>
          <w:rPr>
            <w:color w:val="0000FF"/>
          </w:rPr>
          <w:t>N 23/2</w:t>
        </w:r>
      </w:hyperlink>
      <w:r>
        <w:t>,</w:t>
      </w:r>
    </w:p>
    <w:p w:rsidR="002745BB" w:rsidRDefault="002745BB">
      <w:pPr>
        <w:pStyle w:val="ConsPlusNormal"/>
        <w:jc w:val="center"/>
      </w:pPr>
      <w:r>
        <w:t xml:space="preserve">от 21.08.2014 </w:t>
      </w:r>
      <w:hyperlink r:id="rId9" w:history="1">
        <w:r>
          <w:rPr>
            <w:color w:val="0000FF"/>
          </w:rPr>
          <w:t>N 45/1</w:t>
        </w:r>
      </w:hyperlink>
      <w:r>
        <w:t>)</w:t>
      </w:r>
    </w:p>
    <w:p w:rsidR="002745BB" w:rsidRDefault="002745BB">
      <w:pPr>
        <w:pStyle w:val="ConsPlusNormal"/>
        <w:jc w:val="center"/>
      </w:pPr>
    </w:p>
    <w:p w:rsidR="002745BB" w:rsidRDefault="002745B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26.03.2013 N 35-ФЗ "Об электроэнергетике",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Федерации от 22.07.2013 N 614,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  <w:proofErr w:type="gramEnd"/>
    </w:p>
    <w:p w:rsidR="002745BB" w:rsidRDefault="002745BB">
      <w:pPr>
        <w:pStyle w:val="ConsPlusNormal"/>
        <w:ind w:firstLine="540"/>
        <w:jc w:val="both"/>
      </w:pPr>
      <w:r>
        <w:t xml:space="preserve">1. Установить и ввести в действие с 1 сентября 2013 года социальную </w:t>
      </w:r>
      <w:hyperlink w:anchor="P35" w:history="1">
        <w:r>
          <w:rPr>
            <w:color w:val="0000FF"/>
          </w:rPr>
          <w:t>норму</w:t>
        </w:r>
      </w:hyperlink>
      <w:r>
        <w:t xml:space="preserve"> потребления электрической энергии (мощности) в Ростовской области согласно приложению к постановлению.</w:t>
      </w:r>
    </w:p>
    <w:p w:rsidR="002745BB" w:rsidRDefault="002745BB">
      <w:pPr>
        <w:pStyle w:val="ConsPlusNormal"/>
        <w:ind w:firstLine="540"/>
        <w:jc w:val="both"/>
      </w:pPr>
      <w:r>
        <w:t>1.1. Величина социальной нормы потребления электрической энергии (мощности) дифференцируется по периодам, которые относятся к соответствующему сезону, путем ее умножения на соответствующий коэффициент сезонности, установленный постановлением Региональной службы по тарифам Ростовской области.</w:t>
      </w:r>
    </w:p>
    <w:p w:rsidR="002745BB" w:rsidRDefault="002745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РСТ РО от 29.05.2014 N 23/2)</w:t>
      </w:r>
    </w:p>
    <w:p w:rsidR="002745BB" w:rsidRDefault="002745BB">
      <w:pPr>
        <w:pStyle w:val="ConsPlusNormal"/>
        <w:ind w:firstLine="540"/>
        <w:jc w:val="both"/>
      </w:pPr>
      <w:r>
        <w:t xml:space="preserve">2. Социальная </w:t>
      </w:r>
      <w:hyperlink w:anchor="P35" w:history="1">
        <w:r>
          <w:rPr>
            <w:color w:val="0000FF"/>
          </w:rPr>
          <w:t>норма</w:t>
        </w:r>
      </w:hyperlink>
      <w:r>
        <w:t xml:space="preserve"> потребления электрической энергии (мощности), установленная пунктом 1 постановления, применяется при оплате электрической энергии, потребленной населением и приравненными к нему категориями потребителей Ростовской области.</w:t>
      </w:r>
    </w:p>
    <w:p w:rsidR="002745BB" w:rsidRDefault="002745BB">
      <w:pPr>
        <w:pStyle w:val="ConsPlusNormal"/>
        <w:ind w:firstLine="540"/>
        <w:jc w:val="both"/>
      </w:pPr>
      <w:r>
        <w:t>3. Постановление вступает в силу в установленном порядке и применяется к правоотношениям, возникшим с 1 сентября 2013 года.</w:t>
      </w: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  <w:r>
        <w:t>Руководитель</w:t>
      </w:r>
    </w:p>
    <w:p w:rsidR="002745BB" w:rsidRDefault="002745BB">
      <w:pPr>
        <w:pStyle w:val="ConsPlusNormal"/>
        <w:jc w:val="right"/>
      </w:pPr>
      <w:r>
        <w:t>Региональной службы</w:t>
      </w:r>
    </w:p>
    <w:p w:rsidR="002745BB" w:rsidRDefault="002745BB">
      <w:pPr>
        <w:pStyle w:val="ConsPlusNormal"/>
        <w:jc w:val="right"/>
      </w:pPr>
      <w:r>
        <w:t>по тарифам Ростовской области</w:t>
      </w:r>
    </w:p>
    <w:p w:rsidR="002745BB" w:rsidRDefault="002745BB">
      <w:pPr>
        <w:pStyle w:val="ConsPlusNormal"/>
        <w:jc w:val="right"/>
      </w:pPr>
      <w:r>
        <w:t>О.В.НИКОЛАЕВСКИЙ</w:t>
      </w:r>
    </w:p>
    <w:p w:rsidR="002745BB" w:rsidRDefault="002745BB">
      <w:pPr>
        <w:sectPr w:rsidR="002745BB" w:rsidSect="00926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Normal"/>
        <w:jc w:val="right"/>
      </w:pPr>
      <w:r>
        <w:t>Приложение</w:t>
      </w:r>
    </w:p>
    <w:p w:rsidR="002745BB" w:rsidRDefault="002745BB">
      <w:pPr>
        <w:pStyle w:val="ConsPlusNormal"/>
        <w:jc w:val="right"/>
      </w:pPr>
      <w:r>
        <w:t>к постановлению</w:t>
      </w:r>
    </w:p>
    <w:p w:rsidR="002745BB" w:rsidRDefault="002745BB">
      <w:pPr>
        <w:pStyle w:val="ConsPlusNormal"/>
        <w:jc w:val="right"/>
      </w:pPr>
      <w:r>
        <w:t>Региональной службы</w:t>
      </w:r>
    </w:p>
    <w:p w:rsidR="002745BB" w:rsidRDefault="002745BB">
      <w:pPr>
        <w:pStyle w:val="ConsPlusNormal"/>
        <w:jc w:val="right"/>
      </w:pPr>
      <w:r>
        <w:t>по тарифам Ростовской области</w:t>
      </w:r>
    </w:p>
    <w:p w:rsidR="002745BB" w:rsidRDefault="002745BB">
      <w:pPr>
        <w:pStyle w:val="ConsPlusNormal"/>
        <w:jc w:val="right"/>
      </w:pPr>
      <w:r>
        <w:t>от 05.08.2013 N 28/1</w:t>
      </w:r>
    </w:p>
    <w:p w:rsidR="002745BB" w:rsidRDefault="002745BB">
      <w:pPr>
        <w:pStyle w:val="ConsPlusNormal"/>
        <w:jc w:val="right"/>
      </w:pPr>
    </w:p>
    <w:p w:rsidR="002745BB" w:rsidRDefault="002745BB">
      <w:pPr>
        <w:pStyle w:val="ConsPlusTitle"/>
        <w:jc w:val="center"/>
      </w:pPr>
      <w:bookmarkStart w:id="0" w:name="P35"/>
      <w:bookmarkEnd w:id="0"/>
      <w:r>
        <w:t>СОЦИАЛЬНАЯ НОРМА ПОТРЕБЛЕНИЯ ЭЛЕКТРИЧЕСКОЙ ЭНЕРГИИ</w:t>
      </w:r>
    </w:p>
    <w:p w:rsidR="002745BB" w:rsidRDefault="002745BB">
      <w:pPr>
        <w:pStyle w:val="ConsPlusTitle"/>
        <w:jc w:val="center"/>
      </w:pPr>
      <w:r>
        <w:t>(МОЩНОСТИ) В ОТНОШЕНИИ ГРУПП ДОМОХОЗЯЙСТВ И ТИПОВ</w:t>
      </w:r>
    </w:p>
    <w:p w:rsidR="002745BB" w:rsidRDefault="002745BB">
      <w:pPr>
        <w:pStyle w:val="ConsPlusTitle"/>
        <w:jc w:val="center"/>
      </w:pPr>
      <w:r>
        <w:t xml:space="preserve">ЖИЛЫХ ПОМЕЩЕНИЙ В РОСТОВСКОЙ ОБЛАСТИ </w:t>
      </w:r>
      <w:hyperlink w:anchor="P304" w:history="1">
        <w:r>
          <w:rPr>
            <w:color w:val="0000FF"/>
          </w:rPr>
          <w:t>&lt;1&gt;</w:t>
        </w:r>
      </w:hyperlink>
    </w:p>
    <w:p w:rsidR="002745BB" w:rsidRDefault="002745BB">
      <w:pPr>
        <w:pStyle w:val="ConsPlusNormal"/>
        <w:jc w:val="center"/>
      </w:pPr>
      <w:r>
        <w:t>Список изменяющих документов</w:t>
      </w:r>
    </w:p>
    <w:p w:rsidR="002745BB" w:rsidRDefault="002745BB">
      <w:pPr>
        <w:pStyle w:val="ConsPlusNormal"/>
        <w:jc w:val="center"/>
      </w:pPr>
      <w:proofErr w:type="gramStart"/>
      <w:r>
        <w:t xml:space="preserve">(в ред. постановлений РСТ РО от 25.03.2014 </w:t>
      </w:r>
      <w:hyperlink r:id="rId14" w:history="1">
        <w:r>
          <w:rPr>
            <w:color w:val="0000FF"/>
          </w:rPr>
          <w:t>N 10/1</w:t>
        </w:r>
      </w:hyperlink>
      <w:r>
        <w:t>,</w:t>
      </w:r>
      <w:proofErr w:type="gramEnd"/>
    </w:p>
    <w:p w:rsidR="002745BB" w:rsidRDefault="002745BB">
      <w:pPr>
        <w:pStyle w:val="ConsPlusNormal"/>
        <w:jc w:val="center"/>
      </w:pPr>
      <w:r>
        <w:t xml:space="preserve">от 21.08.2014 </w:t>
      </w:r>
      <w:hyperlink r:id="rId15" w:history="1">
        <w:r>
          <w:rPr>
            <w:color w:val="0000FF"/>
          </w:rPr>
          <w:t>N 45/1</w:t>
        </w:r>
      </w:hyperlink>
      <w:r>
        <w:t>)</w:t>
      </w:r>
    </w:p>
    <w:p w:rsidR="002745BB" w:rsidRDefault="002745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4980"/>
        <w:gridCol w:w="2400"/>
        <w:gridCol w:w="1200"/>
        <w:gridCol w:w="1200"/>
        <w:gridCol w:w="1200"/>
        <w:gridCol w:w="1200"/>
        <w:gridCol w:w="1200"/>
      </w:tblGrid>
      <w:tr w:rsidR="002745BB">
        <w:tc>
          <w:tcPr>
            <w:tcW w:w="960" w:type="dxa"/>
            <w:vMerge w:val="restart"/>
          </w:tcPr>
          <w:p w:rsidR="002745BB" w:rsidRDefault="002745BB">
            <w:pPr>
              <w:pStyle w:val="ConsPlusNormal"/>
              <w:jc w:val="center"/>
            </w:pPr>
            <w:r>
              <w:t>N</w:t>
            </w:r>
          </w:p>
          <w:p w:rsidR="002745BB" w:rsidRDefault="002745B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0" w:type="dxa"/>
            <w:vMerge w:val="restart"/>
          </w:tcPr>
          <w:p w:rsidR="002745BB" w:rsidRDefault="002745BB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2400" w:type="dxa"/>
            <w:vMerge w:val="restart"/>
          </w:tcPr>
          <w:p w:rsidR="002745BB" w:rsidRDefault="002745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 xml:space="preserve">Социальная норма потребления электрической энергии (мощности) для домохозяйств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2745BB">
        <w:tc>
          <w:tcPr>
            <w:tcW w:w="960" w:type="dxa"/>
            <w:vMerge/>
          </w:tcPr>
          <w:p w:rsidR="002745BB" w:rsidRDefault="002745BB"/>
        </w:tc>
        <w:tc>
          <w:tcPr>
            <w:tcW w:w="4980" w:type="dxa"/>
            <w:vMerge/>
          </w:tcPr>
          <w:p w:rsidR="002745BB" w:rsidRDefault="002745BB"/>
        </w:tc>
        <w:tc>
          <w:tcPr>
            <w:tcW w:w="2400" w:type="dxa"/>
            <w:vMerge/>
          </w:tcPr>
          <w:p w:rsidR="002745BB" w:rsidRDefault="002745BB"/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 группы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 группы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 группы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 группы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 группы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380" w:type="dxa"/>
            <w:gridSpan w:val="7"/>
          </w:tcPr>
          <w:p w:rsidR="002745BB" w:rsidRDefault="002745BB">
            <w:pPr>
              <w:pStyle w:val="ConsPlusNormal"/>
              <w:jc w:val="center"/>
            </w:pPr>
            <w:r>
              <w:t>Жилые помещения в городских населенных пунктах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не оборудованные в установленном порядке стационарными </w:t>
            </w:r>
            <w:r>
              <w:lastRenderedPageBreak/>
              <w:t xml:space="preserve">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3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414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3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629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3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4991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 и стационарными </w:t>
            </w:r>
            <w:r>
              <w:lastRenderedPageBreak/>
              <w:t>электроплитами для приготовления пищи,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1991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1991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электронагревательными установками для целей горячего водоснабжения и не оборудованные электроотопительными установками и стационарными электроплитами для приготовления пищи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1776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 установками и стационарными электроплитами </w:t>
            </w:r>
            <w:r>
              <w:lastRenderedPageBreak/>
              <w:t>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491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4776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1776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380" w:type="dxa"/>
            <w:gridSpan w:val="7"/>
          </w:tcPr>
          <w:p w:rsidR="002745BB" w:rsidRDefault="002745BB">
            <w:pPr>
              <w:pStyle w:val="ConsPlusNormal"/>
              <w:jc w:val="center"/>
            </w:pPr>
            <w:r>
              <w:t>Жилые помещения в сельских населенных пунктах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</w:t>
            </w:r>
            <w:r>
              <w:lastRenderedPageBreak/>
              <w:t>горячего водоснабжения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3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504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3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719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3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5081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Жилые помещения, оборудованные в </w:t>
            </w:r>
            <w: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 и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</w:t>
            </w:r>
            <w:r>
              <w:lastRenderedPageBreak/>
              <w:t>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2081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2081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электронагревательными установками для целей горячего водоснабжения и не оборудованные электроотопительными установками и стационарными электроплитами для приготовления пищи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3581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581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4526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4866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200" w:type="dxa"/>
          </w:tcPr>
          <w:p w:rsidR="002745BB" w:rsidRDefault="002745BB">
            <w:pPr>
              <w:pStyle w:val="ConsPlusNormal"/>
              <w:jc w:val="center"/>
            </w:pPr>
            <w:r>
              <w:t>1866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380" w:type="dxa"/>
            <w:gridSpan w:val="7"/>
          </w:tcPr>
          <w:p w:rsidR="002745BB" w:rsidRDefault="002745BB">
            <w:pPr>
              <w:pStyle w:val="ConsPlusNormal"/>
              <w:jc w:val="center"/>
            </w:pPr>
            <w:r>
              <w:t>Категории потребителей, приравненные к населению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Садоводческие, огороднические или дачные некоммерческие объединения граждан </w:t>
            </w:r>
            <w:hyperlink w:anchor="P32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1 члена оъединения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>96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организацию и кВт ч в месяц на 1 чел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>96 и 29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Физические лица, владеющие гаражами, хозяйственными постройками (погребами, сараями и иными сооружениями аналогичного назначения) </w:t>
            </w:r>
            <w:hyperlink w:anchor="P32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гараж или постройку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>29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 xml:space="preserve">Юридические лица в части приобретаемого объема электрической энергии (мощности) в целях потребления осужденными в помещениях для их содержания </w:t>
            </w:r>
            <w:hyperlink w:anchor="P32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осужденного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>29</w:t>
            </w:r>
          </w:p>
        </w:tc>
      </w:tr>
      <w:tr w:rsidR="002745BB">
        <w:tc>
          <w:tcPr>
            <w:tcW w:w="960" w:type="dxa"/>
          </w:tcPr>
          <w:p w:rsidR="002745BB" w:rsidRDefault="002745B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0" w:type="dxa"/>
          </w:tcPr>
          <w:p w:rsidR="002745BB" w:rsidRDefault="002745BB">
            <w:pPr>
              <w:pStyle w:val="ConsPlusNormal"/>
            </w:pPr>
            <w:r>
              <w:t>Жилые помещения специализированного жилого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2400" w:type="dxa"/>
          </w:tcPr>
          <w:p w:rsidR="002745BB" w:rsidRDefault="002745BB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6000" w:type="dxa"/>
            <w:gridSpan w:val="5"/>
          </w:tcPr>
          <w:p w:rsidR="002745BB" w:rsidRDefault="002745BB">
            <w:pPr>
              <w:pStyle w:val="ConsPlusNormal"/>
              <w:jc w:val="center"/>
            </w:pPr>
            <w:r>
              <w:t>29</w:t>
            </w:r>
          </w:p>
        </w:tc>
      </w:tr>
    </w:tbl>
    <w:p w:rsidR="002745BB" w:rsidRDefault="002745BB">
      <w:pPr>
        <w:sectPr w:rsidR="002745BB">
          <w:pgSz w:w="16838" w:h="11905"/>
          <w:pgMar w:top="1701" w:right="1134" w:bottom="850" w:left="1134" w:header="0" w:footer="0" w:gutter="0"/>
          <w:cols w:space="720"/>
        </w:sectPr>
      </w:pPr>
    </w:p>
    <w:p w:rsidR="002745BB" w:rsidRDefault="002745BB">
      <w:pPr>
        <w:pStyle w:val="ConsPlusNormal"/>
        <w:ind w:firstLine="540"/>
        <w:jc w:val="both"/>
      </w:pPr>
    </w:p>
    <w:p w:rsidR="002745BB" w:rsidRDefault="002745BB">
      <w:pPr>
        <w:pStyle w:val="ConsPlusNormal"/>
        <w:ind w:firstLine="540"/>
        <w:jc w:val="both"/>
      </w:pPr>
      <w:r>
        <w:t>--------------------------------</w:t>
      </w:r>
    </w:p>
    <w:p w:rsidR="002745BB" w:rsidRDefault="002745BB">
      <w:pPr>
        <w:pStyle w:val="ConsPlusNormal"/>
        <w:ind w:firstLine="540"/>
        <w:jc w:val="both"/>
      </w:pPr>
      <w:bookmarkStart w:id="1" w:name="P304"/>
      <w:bookmarkEnd w:id="1"/>
      <w:r>
        <w:t>&lt;1</w:t>
      </w:r>
      <w:proofErr w:type="gramStart"/>
      <w:r>
        <w:t>&gt; В</w:t>
      </w:r>
      <w:proofErr w:type="gramEnd"/>
      <w:r>
        <w:t xml:space="preserve"> первый год применения социальной нормы весь объем электрической энергии оплачивается по цене (тарифу) на электрическую энергию (мощность), установленной для населения и приравненных к нему категорий потребителей, в пределах социальной нормы, а с 1 сентября 2014 года величина социальной нормы определяется с применением повышающего коэффициента 1,5 для следующих домохозяйств:</w:t>
      </w:r>
    </w:p>
    <w:p w:rsidR="002745BB" w:rsidRDefault="002745B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РСТ РО от 21.08.2014 N 45/1)</w:t>
      </w:r>
    </w:p>
    <w:p w:rsidR="002745BB" w:rsidRDefault="002745BB">
      <w:pPr>
        <w:pStyle w:val="ConsPlusNormal"/>
        <w:ind w:firstLine="540"/>
        <w:jc w:val="both"/>
      </w:pPr>
      <w:r>
        <w:t xml:space="preserve">- в </w:t>
      </w:r>
      <w:proofErr w:type="gramStart"/>
      <w:r>
        <w:t>которых</w:t>
      </w:r>
      <w:proofErr w:type="gramEnd"/>
      <w:r>
        <w:t xml:space="preserve"> лица, одиноко проживающие в жилом помещении, являются получателями пенсии по старости либо инвалидности (далее - одиноко проживающие пенсионеры);</w:t>
      </w:r>
    </w:p>
    <w:p w:rsidR="002745BB" w:rsidRDefault="002745BB">
      <w:pPr>
        <w:pStyle w:val="ConsPlusNormal"/>
        <w:ind w:firstLine="540"/>
        <w:jc w:val="both"/>
      </w:pPr>
      <w:r>
        <w:t>- состоящих только из получателей пенсии по старости либо инвалидности (далее - семьи пенсионеров);</w:t>
      </w:r>
    </w:p>
    <w:p w:rsidR="002745BB" w:rsidRDefault="002745BB">
      <w:pPr>
        <w:pStyle w:val="ConsPlusNormal"/>
        <w:ind w:firstLine="540"/>
        <w:jc w:val="both"/>
      </w:pPr>
      <w:proofErr w:type="gramStart"/>
      <w:r>
        <w:t>- в которых проживают семьи, отнесенные в соответствии с нормативными правовыми актами субъекта Российской Федерации к категории многодетных семей;</w:t>
      </w:r>
      <w:proofErr w:type="gramEnd"/>
    </w:p>
    <w:p w:rsidR="002745BB" w:rsidRDefault="002745BB">
      <w:pPr>
        <w:pStyle w:val="ConsPlusNormal"/>
        <w:ind w:firstLine="540"/>
        <w:jc w:val="both"/>
      </w:pPr>
      <w:r>
        <w:t>- в которых проживают семьи, имеющие в своем составе инвалидов;</w:t>
      </w:r>
    </w:p>
    <w:p w:rsidR="002745BB" w:rsidRDefault="002745BB">
      <w:pPr>
        <w:pStyle w:val="ConsPlusNormal"/>
        <w:ind w:firstLine="540"/>
        <w:jc w:val="both"/>
      </w:pPr>
      <w:r>
        <w:t>- в которых проживают семьи, имеющие в своем составе детей-инвалидов;</w:t>
      </w:r>
    </w:p>
    <w:p w:rsidR="002745BB" w:rsidRDefault="002745BB">
      <w:pPr>
        <w:pStyle w:val="ConsPlusNormal"/>
        <w:ind w:firstLine="540"/>
        <w:jc w:val="both"/>
      </w:pPr>
      <w:r>
        <w:t>-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2745BB" w:rsidRDefault="002745BB">
      <w:pPr>
        <w:pStyle w:val="ConsPlusNormal"/>
        <w:ind w:firstLine="540"/>
        <w:jc w:val="both"/>
      </w:pPr>
      <w:r>
        <w:t>В случае если в домохозяйстве зарегистрировано более пяти лиц, надбавка к социальной норме составляет 40 кВтч в месяц на каждого последующего человека.</w:t>
      </w:r>
    </w:p>
    <w:p w:rsidR="002745BB" w:rsidRDefault="002745BB">
      <w:pPr>
        <w:pStyle w:val="ConsPlusNormal"/>
        <w:ind w:firstLine="540"/>
        <w:jc w:val="both"/>
      </w:pPr>
      <w:r>
        <w:t>Для домохозяйств, в которых зарегистрировано более 5 человек, оборудованных в установленном порядке стационарными электроплитами для приготовления пищи, надбавка к социальной норме на использование стационарной электроплиты составляет 43 кВтч в месяц на человека.</w:t>
      </w:r>
    </w:p>
    <w:p w:rsidR="002745BB" w:rsidRDefault="002745BB">
      <w:pPr>
        <w:pStyle w:val="ConsPlusNormal"/>
        <w:ind w:firstLine="540"/>
        <w:jc w:val="both"/>
      </w:pPr>
      <w:r>
        <w:t>Для домохозяйств, в которых зарегистрировано более 5 человек, оборудованных в установленном порядке электронагревательными установками при отсутствии централизованного горячего водоснабжения, надбавка к социальной норме на использование указаных установок составляет 300 кВтч в месяц на человека.</w:t>
      </w:r>
    </w:p>
    <w:p w:rsidR="002745BB" w:rsidRDefault="002745BB">
      <w:pPr>
        <w:pStyle w:val="ConsPlusNormal"/>
        <w:ind w:firstLine="540"/>
        <w:jc w:val="both"/>
      </w:pPr>
      <w:proofErr w:type="gramStart"/>
      <w:r>
        <w:t>В случае возникновения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пенсионеров, такой потребитель направляет исполнителю коммунальной</w:t>
      </w:r>
      <w:proofErr w:type="gramEnd"/>
      <w:r>
        <w:t xml:space="preserve"> услуги письменное заявление о наличии или возникновении таких оснований, к которому прилагаются копии соответствующих документов.</w:t>
      </w:r>
    </w:p>
    <w:p w:rsidR="002745BB" w:rsidRDefault="002745BB">
      <w:pPr>
        <w:pStyle w:val="ConsPlusNormal"/>
        <w:ind w:firstLine="540"/>
        <w:jc w:val="both"/>
      </w:pPr>
      <w:bookmarkStart w:id="2" w:name="P316"/>
      <w:bookmarkEnd w:id="2"/>
      <w:r>
        <w:t>&lt;2</w:t>
      </w:r>
      <w:proofErr w:type="gramStart"/>
      <w:r>
        <w:t>&gt; В</w:t>
      </w:r>
      <w:proofErr w:type="gramEnd"/>
      <w:r>
        <w:t xml:space="preserve"> случае несоответствия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домохозяйства),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 копии одного из следующих документов, в зависимости от основания такого уточнения либо изменения:</w:t>
      </w:r>
    </w:p>
    <w:p w:rsidR="002745BB" w:rsidRDefault="002745BB">
      <w:pPr>
        <w:pStyle w:val="ConsPlusNormal"/>
        <w:ind w:firstLine="540"/>
        <w:jc w:val="both"/>
      </w:pPr>
      <w:r>
        <w:t>а) копии паспорта либо иного основного документа, удостоверяющего личность;</w:t>
      </w:r>
    </w:p>
    <w:p w:rsidR="002745BB" w:rsidRDefault="002745BB">
      <w:pPr>
        <w:pStyle w:val="ConsPlusNormal"/>
        <w:ind w:firstLine="540"/>
        <w:jc w:val="both"/>
      </w:pPr>
      <w:r>
        <w:t>б) копии документа о временной регистрации, выданного органом регистрационного учета;</w:t>
      </w:r>
    </w:p>
    <w:p w:rsidR="002745BB" w:rsidRDefault="002745BB">
      <w:pPr>
        <w:pStyle w:val="ConsPlusNormal"/>
        <w:ind w:firstLine="540"/>
        <w:jc w:val="both"/>
      </w:pPr>
      <w:r>
        <w:t>в) копии справки (свидетельства) органов государственной регистрации актов гражданского состояния о смерти или о рождении;</w:t>
      </w:r>
    </w:p>
    <w:p w:rsidR="002745BB" w:rsidRDefault="002745BB">
      <w:pPr>
        <w:pStyle w:val="ConsPlusNormal"/>
        <w:ind w:firstLine="540"/>
        <w:jc w:val="both"/>
      </w:pPr>
      <w:r>
        <w:t>г) копии справки о проживании в жилых помещениях специализированного жилого фонда.</w:t>
      </w:r>
    </w:p>
    <w:p w:rsidR="002745BB" w:rsidRDefault="002745BB">
      <w:pPr>
        <w:pStyle w:val="ConsPlusNormal"/>
        <w:ind w:firstLine="540"/>
        <w:jc w:val="both"/>
      </w:pPr>
      <w:bookmarkStart w:id="3" w:name="P321"/>
      <w:bookmarkEnd w:id="3"/>
      <w:r>
        <w:t>&lt;3&gt; Отнесение жилых помещений к аварийному жилищному фонду или жилому фонду со степенью износа 70 процентов и более осуществляется комиссией, созданной в установленном порядке для оценки жилых помещений жилищного фонда Ростовской области.</w:t>
      </w:r>
    </w:p>
    <w:p w:rsidR="002745BB" w:rsidRDefault="002745BB">
      <w:pPr>
        <w:pStyle w:val="ConsPlusNormal"/>
        <w:ind w:firstLine="540"/>
        <w:jc w:val="both"/>
      </w:pPr>
      <w:r>
        <w:t xml:space="preserve">Для целей применения социальной нормы, утвержденной для жилых помещений, отнесенных к аварийному жилищному фонду или жилому фонду со степенью износа 70 </w:t>
      </w:r>
      <w:r>
        <w:lastRenderedPageBreak/>
        <w:t xml:space="preserve">процентов и более, информация о таких потребителях или информация об отнесении жилого помещения к </w:t>
      </w:r>
      <w:proofErr w:type="gramStart"/>
      <w:r>
        <w:t>к</w:t>
      </w:r>
      <w:proofErr w:type="gramEnd"/>
      <w:r>
        <w:t xml:space="preserve"> аварийному жилищному фонду или жилому фонду со степенью износа 70 процентов и более предоставляется указанной комиссией по запросу исполнителям коммунальных услуг безвозмездно. Исполнители коммунальных услуг предоставляют такую информацию поставщикам электрической энергии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124.</w:t>
      </w:r>
    </w:p>
    <w:p w:rsidR="002745BB" w:rsidRDefault="002745BB">
      <w:pPr>
        <w:pStyle w:val="ConsPlusNormal"/>
        <w:ind w:firstLine="540"/>
        <w:jc w:val="both"/>
      </w:pPr>
      <w:bookmarkStart w:id="4" w:name="P323"/>
      <w:bookmarkEnd w:id="4"/>
      <w:r>
        <w:t>&lt;4</w:t>
      </w:r>
      <w:proofErr w:type="gramStart"/>
      <w:r>
        <w:t>&gt; П</w:t>
      </w:r>
      <w:proofErr w:type="gramEnd"/>
      <w:r>
        <w:t xml:space="preserve">рименяется в сроки, определяющие начало и окончание отопительного периода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2745BB" w:rsidRDefault="002745BB">
      <w:pPr>
        <w:pStyle w:val="ConsPlusNormal"/>
        <w:ind w:firstLine="540"/>
        <w:jc w:val="both"/>
      </w:pPr>
      <w:bookmarkStart w:id="5" w:name="P324"/>
      <w:bookmarkEnd w:id="5"/>
      <w:r>
        <w:t>&lt;5</w:t>
      </w:r>
      <w:proofErr w:type="gramStart"/>
      <w:r>
        <w:t>&gt; В</w:t>
      </w:r>
      <w:proofErr w:type="gramEnd"/>
      <w:r>
        <w:t xml:space="preserve"> случае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2745BB" w:rsidRDefault="002745BB">
      <w:pPr>
        <w:pStyle w:val="ConsPlusNormal"/>
        <w:ind w:firstLine="540"/>
        <w:jc w:val="both"/>
      </w:pPr>
      <w:bookmarkStart w:id="6" w:name="P325"/>
      <w:bookmarkEnd w:id="6"/>
      <w:r>
        <w:t>&lt;6</w:t>
      </w:r>
      <w:proofErr w:type="gramStart"/>
      <w:r>
        <w:t>&gt; В</w:t>
      </w:r>
      <w:proofErr w:type="gramEnd"/>
      <w:r>
        <w:t xml:space="preserve">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2745BB" w:rsidRDefault="002745BB">
      <w:pPr>
        <w:pStyle w:val="ConsPlusNormal"/>
        <w:ind w:firstLine="540"/>
        <w:jc w:val="both"/>
      </w:pPr>
    </w:p>
    <w:p w:rsidR="002745BB" w:rsidRDefault="002745BB">
      <w:pPr>
        <w:pStyle w:val="ConsPlusNormal"/>
        <w:ind w:firstLine="540"/>
        <w:jc w:val="both"/>
      </w:pPr>
    </w:p>
    <w:p w:rsidR="002745BB" w:rsidRDefault="00274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BD5" w:rsidRDefault="002B2BD5">
      <w:bookmarkStart w:id="7" w:name="_GoBack"/>
      <w:bookmarkEnd w:id="7"/>
    </w:p>
    <w:sectPr w:rsidR="002B2BD5" w:rsidSect="004D48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B"/>
    <w:rsid w:val="002745BB"/>
    <w:rsid w:val="002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070291EBA398E94E79FF7370071F9783D075ADEF9FBX2L2I" TargetMode="External"/><Relationship Id="rId13" Type="http://schemas.openxmlformats.org/officeDocument/2006/relationships/hyperlink" Target="consultantplus://offline/ref=DA378C115A607525015EAD755DE64A4560DBDAF03EB070291EBA398E94E79FF7370071F9783D075ADEF9FBX2L2I" TargetMode="External"/><Relationship Id="rId18" Type="http://schemas.openxmlformats.org/officeDocument/2006/relationships/hyperlink" Target="consultantplus://offline/ref=DA378C115A607525015EB3784B8A154067D985FE3DB6787F4BE562D3C3EE95A0704F28BB3C30065DXDL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78C115A607525015EAD755DE64A4560DBDAF03EB1772814BA398E94E79FF7370071F9783D075ADEF9FBX2L2I" TargetMode="External"/><Relationship Id="rId12" Type="http://schemas.openxmlformats.org/officeDocument/2006/relationships/hyperlink" Target="consultantplus://offline/ref=DA378C115A607525015EAD755DE64A4560DBDAF03DB4742815BA398E94E79FF7370071F9783D075ADEFBFBX2L5I" TargetMode="External"/><Relationship Id="rId17" Type="http://schemas.openxmlformats.org/officeDocument/2006/relationships/hyperlink" Target="consultantplus://offline/ref=DA378C115A607525015EB3784B8A154067D985FE3EB7787F4BE562D3C3EE95A0704F28BB3C300658XDL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78C115A607525015EAD755DE64A4560DBDAF03EB770201EBA398E94E79FF7370071F9783D075ADEF9FBX2L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78C115A607525015EAD755DE64A4560DBDAF03FBB7B2F10BA398E94E79FF7370071F9783D075ADEF9FBX2L2I" TargetMode="External"/><Relationship Id="rId11" Type="http://schemas.openxmlformats.org/officeDocument/2006/relationships/hyperlink" Target="consultantplus://offline/ref=DA378C115A607525015EB3784B8A154067D980FB3AB6787F4BE562D3C3EE95A0704F28BB3C300658XDL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378C115A607525015EAD755DE64A4560DBDAF03EB770201EBA398E94E79FF7370071F9783D075ADEF9FBX2L2I" TargetMode="External"/><Relationship Id="rId10" Type="http://schemas.openxmlformats.org/officeDocument/2006/relationships/hyperlink" Target="consultantplus://offline/ref=DA378C115A607525015EB3784B8A154067D981F433B0787F4BE562D3C3XEL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78C115A607525015EAD755DE64A4560DBDAF03EB770201EBA398E94E79FF7370071F9783D075ADEF9FBX2L2I" TargetMode="External"/><Relationship Id="rId14" Type="http://schemas.openxmlformats.org/officeDocument/2006/relationships/hyperlink" Target="consultantplus://offline/ref=DA378C115A607525015EAD755DE64A4560DBDAF03EB1772814BA398E94E79FF7370071F9783D075ADEF9FBX2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Древаль</dc:creator>
  <cp:lastModifiedBy>Максим С. Древаль</cp:lastModifiedBy>
  <cp:revision>1</cp:revision>
  <dcterms:created xsi:type="dcterms:W3CDTF">2016-04-26T08:11:00Z</dcterms:created>
  <dcterms:modified xsi:type="dcterms:W3CDTF">2016-04-26T08:13:00Z</dcterms:modified>
</cp:coreProperties>
</file>